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814743" w:rsidRPr="0092415C" w:rsidTr="00C84AAD">
        <w:tc>
          <w:tcPr>
            <w:tcW w:w="3284" w:type="dxa"/>
          </w:tcPr>
          <w:p w:rsidR="00814743" w:rsidRPr="0092415C" w:rsidRDefault="00814743" w:rsidP="00C84AA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:rsidR="00814743" w:rsidRPr="0092415C" w:rsidRDefault="00814743" w:rsidP="00C84AA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:rsidR="00814743" w:rsidRPr="007A7438" w:rsidRDefault="00814743" w:rsidP="00C84AAD">
            <w:pPr>
              <w:tabs>
                <w:tab w:val="left" w:pos="2505"/>
              </w:tabs>
              <w:rPr>
                <w:b/>
                <w:i/>
              </w:rPr>
            </w:pPr>
            <w:r w:rsidRPr="007A7438">
              <w:rPr>
                <w:b/>
                <w:i/>
              </w:rPr>
              <w:t>Утверждаю</w:t>
            </w:r>
          </w:p>
          <w:p w:rsidR="00814743" w:rsidRPr="007A7438" w:rsidRDefault="00814743" w:rsidP="00C84AAD">
            <w:pPr>
              <w:tabs>
                <w:tab w:val="left" w:pos="2505"/>
              </w:tabs>
              <w:rPr>
                <w:b/>
                <w:i/>
              </w:rPr>
            </w:pPr>
            <w:r w:rsidRPr="007A7438">
              <w:rPr>
                <w:b/>
                <w:i/>
              </w:rPr>
              <w:t xml:space="preserve">председатель контрольно - </w:t>
            </w:r>
            <w:proofErr w:type="gramStart"/>
            <w:r w:rsidRPr="007A7438">
              <w:rPr>
                <w:b/>
                <w:i/>
              </w:rPr>
              <w:t>счетной</w:t>
            </w:r>
            <w:proofErr w:type="gramEnd"/>
            <w:r w:rsidRPr="007A7438">
              <w:rPr>
                <w:b/>
                <w:i/>
              </w:rPr>
              <w:t xml:space="preserve"> </w:t>
            </w:r>
          </w:p>
          <w:p w:rsidR="00814743" w:rsidRPr="007A7438" w:rsidRDefault="00814743" w:rsidP="00C84AAD">
            <w:pPr>
              <w:tabs>
                <w:tab w:val="left" w:pos="2505"/>
              </w:tabs>
              <w:rPr>
                <w:b/>
                <w:i/>
              </w:rPr>
            </w:pPr>
            <w:r w:rsidRPr="007A7438">
              <w:rPr>
                <w:b/>
                <w:i/>
              </w:rPr>
              <w:t>палаты Волгоградской области</w:t>
            </w:r>
          </w:p>
          <w:p w:rsidR="00814743" w:rsidRPr="007A7438" w:rsidRDefault="00814743" w:rsidP="00C84AAD">
            <w:pPr>
              <w:tabs>
                <w:tab w:val="left" w:pos="2505"/>
              </w:tabs>
              <w:rPr>
                <w:b/>
                <w:i/>
              </w:rPr>
            </w:pPr>
            <w:r w:rsidRPr="007A7438">
              <w:rPr>
                <w:b/>
                <w:i/>
              </w:rPr>
              <w:t>______________ И. А. Дьяченко</w:t>
            </w:r>
          </w:p>
          <w:p w:rsidR="00814743" w:rsidRPr="0092415C" w:rsidRDefault="00814743" w:rsidP="00C84AAD">
            <w:pPr>
              <w:tabs>
                <w:tab w:val="left" w:pos="2505"/>
              </w:tabs>
              <w:rPr>
                <w:b/>
                <w:i/>
              </w:rPr>
            </w:pPr>
            <w:r w:rsidRPr="007A7438">
              <w:rPr>
                <w:b/>
                <w:i/>
              </w:rPr>
              <w:t xml:space="preserve">« </w:t>
            </w:r>
            <w:r w:rsidR="00D15E99">
              <w:rPr>
                <w:b/>
                <w:i/>
              </w:rPr>
              <w:t>2</w:t>
            </w:r>
            <w:r w:rsidR="00596A9F">
              <w:rPr>
                <w:b/>
                <w:i/>
              </w:rPr>
              <w:t>2</w:t>
            </w:r>
            <w:r w:rsidRPr="007A7438">
              <w:rPr>
                <w:b/>
                <w:i/>
              </w:rPr>
              <w:t>»  марта 2017 года</w:t>
            </w:r>
            <w:r w:rsidRPr="0092415C">
              <w:rPr>
                <w:b/>
                <w:i/>
              </w:rPr>
              <w:t xml:space="preserve"> </w:t>
            </w:r>
          </w:p>
          <w:p w:rsidR="00814743" w:rsidRPr="0092415C" w:rsidRDefault="00814743" w:rsidP="00C84AA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:rsidR="00355961" w:rsidRDefault="00355961" w:rsidP="00814743">
      <w:pPr>
        <w:tabs>
          <w:tab w:val="left" w:pos="2505"/>
        </w:tabs>
        <w:jc w:val="center"/>
        <w:rPr>
          <w:b/>
          <w:i/>
        </w:rPr>
      </w:pPr>
    </w:p>
    <w:p w:rsidR="00814743" w:rsidRPr="0092415C" w:rsidRDefault="00814743" w:rsidP="00814743">
      <w:pPr>
        <w:tabs>
          <w:tab w:val="left" w:pos="2505"/>
        </w:tabs>
        <w:jc w:val="center"/>
        <w:rPr>
          <w:b/>
          <w:i/>
        </w:rPr>
      </w:pPr>
      <w:r w:rsidRPr="0092415C">
        <w:rPr>
          <w:b/>
          <w:i/>
        </w:rPr>
        <w:t>ЗАКЛЮЧЕНИЕ</w:t>
      </w:r>
    </w:p>
    <w:p w:rsidR="00814743" w:rsidRPr="0092415C" w:rsidRDefault="00814743" w:rsidP="00814743">
      <w:pPr>
        <w:jc w:val="center"/>
        <w:rPr>
          <w:b/>
          <w:i/>
        </w:rPr>
      </w:pPr>
      <w:r w:rsidRPr="0092415C">
        <w:rPr>
          <w:b/>
          <w:i/>
        </w:rPr>
        <w:t>о результатах внешней  проверки бюджетной отчетности</w:t>
      </w:r>
      <w:r w:rsidRPr="0092415C">
        <w:rPr>
          <w:b/>
        </w:rPr>
        <w:t xml:space="preserve"> </w:t>
      </w:r>
      <w:r w:rsidRPr="0092415C">
        <w:rPr>
          <w:b/>
          <w:i/>
        </w:rPr>
        <w:t>и</w:t>
      </w:r>
      <w:r w:rsidRPr="0092415C">
        <w:rPr>
          <w:b/>
        </w:rPr>
        <w:t xml:space="preserve"> </w:t>
      </w:r>
      <w:r w:rsidRPr="0092415C">
        <w:rPr>
          <w:b/>
          <w:i/>
        </w:rPr>
        <w:t>отдельных вопросов исполнения</w:t>
      </w:r>
      <w:r w:rsidRPr="0092415C">
        <w:rPr>
          <w:b/>
        </w:rPr>
        <w:t xml:space="preserve"> областного бюджета</w:t>
      </w:r>
      <w:r w:rsidRPr="0092415C">
        <w:rPr>
          <w:b/>
          <w:i/>
        </w:rPr>
        <w:t xml:space="preserve"> главным администратором средств областного бюджета – комитетом по обеспечению деятельности мировых судей</w:t>
      </w:r>
      <w:r w:rsidRPr="0092415C">
        <w:rPr>
          <w:b/>
        </w:rPr>
        <w:t xml:space="preserve"> </w:t>
      </w:r>
      <w:r w:rsidRPr="0092415C">
        <w:rPr>
          <w:b/>
          <w:i/>
        </w:rPr>
        <w:t>Волгоградской области за 201</w:t>
      </w:r>
      <w:r>
        <w:rPr>
          <w:b/>
          <w:i/>
        </w:rPr>
        <w:t xml:space="preserve">6 </w:t>
      </w:r>
      <w:r w:rsidRPr="0092415C">
        <w:rPr>
          <w:b/>
          <w:i/>
        </w:rPr>
        <w:t>год</w:t>
      </w:r>
    </w:p>
    <w:p w:rsidR="00814743" w:rsidRPr="0092415C" w:rsidRDefault="00814743" w:rsidP="00814743">
      <w:pPr>
        <w:jc w:val="center"/>
        <w:rPr>
          <w:b/>
        </w:rPr>
      </w:pPr>
    </w:p>
    <w:p w:rsidR="00814743" w:rsidRDefault="00814743" w:rsidP="00814743">
      <w:pPr>
        <w:pStyle w:val="a5"/>
        <w:ind w:firstLine="708"/>
        <w:jc w:val="both"/>
        <w:rPr>
          <w:b w:val="0"/>
        </w:rPr>
      </w:pPr>
      <w:proofErr w:type="gramStart"/>
      <w:r w:rsidRPr="003570FE">
        <w:rPr>
          <w:b w:val="0"/>
        </w:rPr>
        <w:t xml:space="preserve">На основании статьи 264.4 Бюджетного Кодекса РФ (далее - БК РФ) и в соответствии с планом работы контрольно-счетной палаты Волгоградской области </w:t>
      </w:r>
      <w:r w:rsidR="00D15E99">
        <w:rPr>
          <w:b w:val="0"/>
        </w:rPr>
        <w:t xml:space="preserve">на 2017 год </w:t>
      </w:r>
      <w:r w:rsidRPr="003570FE">
        <w:rPr>
          <w:b w:val="0"/>
        </w:rPr>
        <w:t xml:space="preserve">(далее - КСП), утвержденным постановлением коллегии КСП от </w:t>
      </w:r>
      <w:r w:rsidRPr="00C36C52">
        <w:rPr>
          <w:b w:val="0"/>
          <w:szCs w:val="24"/>
        </w:rPr>
        <w:t>09.12.2016 №29/3</w:t>
      </w:r>
      <w:r w:rsidRPr="00B076F7">
        <w:rPr>
          <w:b w:val="0"/>
        </w:rPr>
        <w:t xml:space="preserve">, </w:t>
      </w:r>
      <w:r w:rsidRPr="003570FE">
        <w:rPr>
          <w:b w:val="0"/>
        </w:rPr>
        <w:t xml:space="preserve">проведена внешняя проверка бюджетной отчетности </w:t>
      </w:r>
      <w:r>
        <w:rPr>
          <w:b w:val="0"/>
        </w:rPr>
        <w:t xml:space="preserve">и </w:t>
      </w:r>
      <w:r w:rsidRPr="003570FE">
        <w:rPr>
          <w:b w:val="0"/>
          <w:szCs w:val="24"/>
        </w:rPr>
        <w:t>отдельных вопросов исполнения областного бюджета</w:t>
      </w:r>
      <w:r>
        <w:rPr>
          <w:b w:val="0"/>
        </w:rPr>
        <w:t xml:space="preserve"> за 2016</w:t>
      </w:r>
      <w:r w:rsidRPr="003570FE">
        <w:rPr>
          <w:b w:val="0"/>
        </w:rPr>
        <w:t xml:space="preserve"> год главным администратором средств областного бюджета – </w:t>
      </w:r>
      <w:r w:rsidRPr="007F2D5B">
        <w:rPr>
          <w:b w:val="0"/>
        </w:rPr>
        <w:t>комитетом по обеспечению деятельности мировых судей</w:t>
      </w:r>
      <w:r w:rsidRPr="003570FE">
        <w:rPr>
          <w:b w:val="0"/>
        </w:rPr>
        <w:t xml:space="preserve"> Волгоградской области</w:t>
      </w:r>
      <w:proofErr w:type="gramEnd"/>
      <w:r w:rsidRPr="003570FE">
        <w:rPr>
          <w:b w:val="0"/>
        </w:rPr>
        <w:t xml:space="preserve"> </w:t>
      </w:r>
      <w:r>
        <w:rPr>
          <w:b w:val="0"/>
        </w:rPr>
        <w:t xml:space="preserve">(далее – </w:t>
      </w:r>
      <w:r>
        <w:rPr>
          <w:b w:val="0"/>
        </w:rPr>
        <w:br/>
      </w:r>
      <w:r w:rsidRPr="00814743">
        <w:rPr>
          <w:b w:val="0"/>
        </w:rPr>
        <w:t>Комитет).</w:t>
      </w:r>
    </w:p>
    <w:p w:rsidR="00355961" w:rsidRPr="00814743" w:rsidRDefault="00355961" w:rsidP="00814743">
      <w:pPr>
        <w:pStyle w:val="a5"/>
        <w:ind w:firstLine="708"/>
        <w:jc w:val="both"/>
        <w:rPr>
          <w:b w:val="0"/>
          <w:szCs w:val="24"/>
        </w:rPr>
      </w:pPr>
    </w:p>
    <w:p w:rsidR="00920910" w:rsidRPr="00814743" w:rsidRDefault="00920910" w:rsidP="00964A5B">
      <w:pPr>
        <w:jc w:val="center"/>
        <w:rPr>
          <w:b/>
        </w:rPr>
      </w:pPr>
      <w:r w:rsidRPr="00814743">
        <w:rPr>
          <w:b/>
        </w:rPr>
        <w:t>Общие сведения</w:t>
      </w:r>
    </w:p>
    <w:p w:rsidR="00763B29" w:rsidRPr="00814743" w:rsidRDefault="00763B29" w:rsidP="00763B29">
      <w:pPr>
        <w:ind w:firstLine="709"/>
        <w:jc w:val="both"/>
      </w:pPr>
      <w:r w:rsidRPr="00814743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</w:t>
      </w:r>
      <w:r w:rsidR="00A15FCA" w:rsidRPr="00814743">
        <w:t>В 201</w:t>
      </w:r>
      <w:r w:rsidR="00D0347D" w:rsidRPr="00814743">
        <w:t>6</w:t>
      </w:r>
      <w:r w:rsidR="00A15FCA" w:rsidRPr="00814743">
        <w:t xml:space="preserve"> году с</w:t>
      </w:r>
      <w:r w:rsidRPr="00814743">
        <w:t xml:space="preserve">огласно </w:t>
      </w:r>
      <w:r w:rsidR="00D15E99">
        <w:t>П</w:t>
      </w:r>
      <w:r w:rsidRPr="00814743">
        <w:t>оложению о Комитете, утвержденному постановлением Губернатора Волгоградской области от 02.05.2012 № 258</w:t>
      </w:r>
      <w:r w:rsidR="00B42AE3">
        <w:t>,</w:t>
      </w:r>
      <w:r w:rsidRPr="00814743">
        <w:t xml:space="preserve"> Комитет явля</w:t>
      </w:r>
      <w:r w:rsidR="00A15FCA" w:rsidRPr="00814743">
        <w:t>л</w:t>
      </w:r>
      <w:r w:rsidRPr="00814743">
        <w:t xml:space="preserve">ся органом исполнительной власти Волгоградской области, </w:t>
      </w:r>
      <w:r w:rsidRPr="00814743">
        <w:rPr>
          <w:bCs/>
        </w:rPr>
        <w:t>осуществляющим организационное обеспечение деятельности мировых судей в Волгоградской области и выполняющим функции уполномоченного органа в области обеспечения граждан бесплатной юридической помощью на территории Волгоградской области.</w:t>
      </w:r>
    </w:p>
    <w:p w:rsidR="00E346B2" w:rsidRPr="00814743" w:rsidRDefault="00E346B2" w:rsidP="00E346B2">
      <w:pPr>
        <w:tabs>
          <w:tab w:val="left" w:pos="0"/>
        </w:tabs>
        <w:ind w:firstLine="709"/>
        <w:jc w:val="both"/>
      </w:pPr>
      <w:r w:rsidRPr="00814743">
        <w:t xml:space="preserve">В 2016 году структура Комитета состояла из 6 отделов, 3 секторов и 145 судебных участков мировых судей (которые зарегистрированы в межрайонных инспекциях федеральной налоговой службы, как обособленные подразделения, не имеющие отдельного баланса). </w:t>
      </w:r>
    </w:p>
    <w:p w:rsidR="00F01B27" w:rsidRPr="00814743" w:rsidRDefault="00F01B27" w:rsidP="00F01B27">
      <w:pPr>
        <w:ind w:firstLine="709"/>
        <w:jc w:val="both"/>
      </w:pPr>
      <w:r w:rsidRPr="00814743">
        <w:t xml:space="preserve">В соответствии с Законом Волгоградской области от </w:t>
      </w:r>
      <w:r w:rsidR="00D0347D" w:rsidRPr="00814743">
        <w:t>07.12.2015</w:t>
      </w:r>
      <w:r w:rsidRPr="00814743">
        <w:t xml:space="preserve"> № </w:t>
      </w:r>
      <w:r w:rsidR="00D0347D" w:rsidRPr="00814743">
        <w:t>206</w:t>
      </w:r>
      <w:r w:rsidRPr="00814743">
        <w:t>-ОД «Об областном бюджете на 201</w:t>
      </w:r>
      <w:r w:rsidR="00A50A0B" w:rsidRPr="00814743">
        <w:t>6</w:t>
      </w:r>
      <w:r w:rsidRPr="00814743">
        <w:t xml:space="preserve"> год и на плановый период 201</w:t>
      </w:r>
      <w:r w:rsidR="00A50A0B" w:rsidRPr="00814743">
        <w:t>7</w:t>
      </w:r>
      <w:r w:rsidRPr="00814743">
        <w:t xml:space="preserve"> и 201</w:t>
      </w:r>
      <w:r w:rsidR="00A50A0B" w:rsidRPr="00814743">
        <w:t>8</w:t>
      </w:r>
      <w:r w:rsidRPr="00814743">
        <w:t xml:space="preserve"> годов» (далее - Закон об областном бюджете) Комитет в 201</w:t>
      </w:r>
      <w:r w:rsidR="00A50A0B" w:rsidRPr="00814743">
        <w:t>6</w:t>
      </w:r>
      <w:r w:rsidRPr="00814743">
        <w:t xml:space="preserve"> году являлся главным администратором доходов областного бюджета и главным распорядителем средств областного бюджета.</w:t>
      </w:r>
    </w:p>
    <w:p w:rsidR="00F01B27" w:rsidRPr="00814743" w:rsidRDefault="00F01B27" w:rsidP="00F01B27">
      <w:pPr>
        <w:ind w:firstLine="709"/>
        <w:jc w:val="both"/>
      </w:pPr>
      <w:r w:rsidRPr="00814743">
        <w:t>Предельная штатная численность государственных гражданских служащих (далее – ГГС) Комитета утверждена Законом об областном бюджете в количестве 52</w:t>
      </w:r>
      <w:r w:rsidR="003B4EED" w:rsidRPr="00814743">
        <w:t>1</w:t>
      </w:r>
      <w:r w:rsidRPr="00814743">
        <w:t xml:space="preserve"> единиц</w:t>
      </w:r>
      <w:r w:rsidR="003B4EED" w:rsidRPr="00814743">
        <w:t>а</w:t>
      </w:r>
      <w:r w:rsidRPr="00814743">
        <w:t xml:space="preserve">. </w:t>
      </w:r>
      <w:r w:rsidR="00CE3144" w:rsidRPr="00814743">
        <w:t>Кроме председателя Комитета (</w:t>
      </w:r>
      <w:proofErr w:type="spellStart"/>
      <w:r w:rsidR="00CE3144" w:rsidRPr="00814743">
        <w:t>госдолжность</w:t>
      </w:r>
      <w:proofErr w:type="spellEnd"/>
      <w:r w:rsidR="00CE3144" w:rsidRPr="00814743">
        <w:t>) и государственных служащих в штат Комитета включены должности, не отнесенные к должностям государственной гражданской службы (44 ед.)</w:t>
      </w:r>
      <w:r w:rsidR="00214D89" w:rsidRPr="00814743">
        <w:t>,</w:t>
      </w:r>
      <w:r w:rsidR="00CE3144" w:rsidRPr="00814743">
        <w:t xml:space="preserve"> и должности работников, осуществляющих техническое обеспечение деятельности ор</w:t>
      </w:r>
      <w:r w:rsidR="003B4EED" w:rsidRPr="00814743">
        <w:t>ганов исполнительной власти (215</w:t>
      </w:r>
      <w:r w:rsidR="00CE3144" w:rsidRPr="00814743">
        <w:t xml:space="preserve"> ед.).</w:t>
      </w:r>
    </w:p>
    <w:p w:rsidR="00F01B27" w:rsidRPr="00814743" w:rsidRDefault="00F01B27" w:rsidP="00F01B27">
      <w:pPr>
        <w:autoSpaceDE w:val="0"/>
        <w:autoSpaceDN w:val="0"/>
        <w:adjustRightInd w:val="0"/>
        <w:ind w:firstLine="720"/>
        <w:jc w:val="both"/>
      </w:pPr>
      <w:r w:rsidRPr="00814743">
        <w:t>В 201</w:t>
      </w:r>
      <w:r w:rsidR="003B4EED" w:rsidRPr="00814743">
        <w:t>6</w:t>
      </w:r>
      <w:r w:rsidRPr="00814743">
        <w:t xml:space="preserve"> году Комитет имел 1 подведомственное учреждение – государственное казенное учреждение Волгоградской области «Государственное юридическое бюро Волгоградской области» (далее – Учреждение)</w:t>
      </w:r>
      <w:r w:rsidR="00CE3144" w:rsidRPr="00814743">
        <w:t>, штатная численность – 3</w:t>
      </w:r>
      <w:r w:rsidR="00036230" w:rsidRPr="00814743">
        <w:t>2</w:t>
      </w:r>
      <w:r w:rsidR="00CE3144" w:rsidRPr="00814743">
        <w:t xml:space="preserve"> единицы</w:t>
      </w:r>
      <w:r w:rsidR="003B4EED" w:rsidRPr="00814743">
        <w:t xml:space="preserve">, по состоянию на 01.01.2017 </w:t>
      </w:r>
      <w:r w:rsidR="00B42AE3">
        <w:t xml:space="preserve">числилось </w:t>
      </w:r>
      <w:r w:rsidR="003B4EED" w:rsidRPr="00814743">
        <w:t>2 вакансии</w:t>
      </w:r>
      <w:r w:rsidRPr="00814743">
        <w:t>.</w:t>
      </w:r>
    </w:p>
    <w:p w:rsidR="00F01B27" w:rsidRPr="00814743" w:rsidRDefault="00F01B27" w:rsidP="00F01B27">
      <w:pPr>
        <w:autoSpaceDE w:val="0"/>
        <w:autoSpaceDN w:val="0"/>
        <w:adjustRightInd w:val="0"/>
        <w:ind w:firstLine="720"/>
        <w:jc w:val="both"/>
      </w:pPr>
      <w:r w:rsidRPr="00814743">
        <w:t>Согласно уставу Учреждения, утвержденному приказом Комитета от 29.12.2012 № 02-06-03/281, Учреждение оказывает гражданам бесплатную юридическую помощь путем:</w:t>
      </w:r>
    </w:p>
    <w:p w:rsidR="00F01B27" w:rsidRPr="00814743" w:rsidRDefault="00763B29" w:rsidP="00F01B27">
      <w:pPr>
        <w:pStyle w:val="aff"/>
        <w:spacing w:before="0" w:beforeAutospacing="0" w:after="0" w:afterAutospacing="0"/>
        <w:jc w:val="both"/>
      </w:pPr>
      <w:r w:rsidRPr="00814743">
        <w:tab/>
        <w:t>-правового консультирования</w:t>
      </w:r>
      <w:r w:rsidR="00F01B27" w:rsidRPr="00814743">
        <w:t xml:space="preserve"> в устной и письменной форме;</w:t>
      </w:r>
    </w:p>
    <w:p w:rsidR="00F01B27" w:rsidRPr="00814743" w:rsidRDefault="00F01B27" w:rsidP="00F01B27">
      <w:pPr>
        <w:pStyle w:val="aff"/>
        <w:spacing w:before="0" w:beforeAutospacing="0" w:after="0" w:afterAutospacing="0"/>
        <w:ind w:firstLine="709"/>
        <w:jc w:val="both"/>
      </w:pPr>
      <w:r w:rsidRPr="00814743">
        <w:t>-</w:t>
      </w:r>
      <w:r w:rsidR="00763B29" w:rsidRPr="00814743">
        <w:t>составления заявлений, жалоб, ходатайств и других документов правового характера;</w:t>
      </w:r>
    </w:p>
    <w:p w:rsidR="00763B29" w:rsidRPr="00814743" w:rsidRDefault="00763B29" w:rsidP="00F01B27">
      <w:pPr>
        <w:pStyle w:val="aff"/>
        <w:spacing w:before="0" w:beforeAutospacing="0" w:after="0" w:afterAutospacing="0"/>
        <w:ind w:firstLine="709"/>
        <w:jc w:val="both"/>
      </w:pPr>
      <w:r w:rsidRPr="00814743">
        <w:t>-представления интересов граждан в судах, государственных и муниципальных органах, организациях.</w:t>
      </w:r>
    </w:p>
    <w:p w:rsidR="003F62ED" w:rsidRPr="00814743" w:rsidRDefault="003F62ED" w:rsidP="005A4875">
      <w:pPr>
        <w:ind w:firstLine="709"/>
        <w:jc w:val="center"/>
        <w:rPr>
          <w:b/>
        </w:rPr>
      </w:pPr>
    </w:p>
    <w:p w:rsidR="00355961" w:rsidRDefault="00355961" w:rsidP="005A4875">
      <w:pPr>
        <w:ind w:firstLine="709"/>
        <w:jc w:val="center"/>
        <w:rPr>
          <w:b/>
        </w:rPr>
      </w:pPr>
    </w:p>
    <w:p w:rsidR="005A4875" w:rsidRPr="00814743" w:rsidRDefault="005A4875" w:rsidP="005A4875">
      <w:pPr>
        <w:ind w:firstLine="709"/>
        <w:jc w:val="center"/>
        <w:rPr>
          <w:b/>
        </w:rPr>
      </w:pPr>
      <w:r w:rsidRPr="00814743">
        <w:rPr>
          <w:b/>
        </w:rPr>
        <w:lastRenderedPageBreak/>
        <w:t>Проверка полноты бюджетной отчетности. Визуальны</w:t>
      </w:r>
      <w:r w:rsidR="00B42AE3">
        <w:rPr>
          <w:b/>
        </w:rPr>
        <w:t>й контроль бюджетной отчетности</w:t>
      </w:r>
    </w:p>
    <w:p w:rsidR="005A4875" w:rsidRPr="00814743" w:rsidRDefault="005A4875" w:rsidP="005A4875">
      <w:pPr>
        <w:jc w:val="center"/>
        <w:rPr>
          <w:b/>
          <w:i/>
        </w:rPr>
      </w:pPr>
    </w:p>
    <w:p w:rsidR="005A4875" w:rsidRPr="00814743" w:rsidRDefault="00B42AE3" w:rsidP="005A4875">
      <w:pPr>
        <w:jc w:val="center"/>
        <w:rPr>
          <w:b/>
          <w:i/>
        </w:rPr>
      </w:pPr>
      <w:r>
        <w:rPr>
          <w:b/>
          <w:i/>
        </w:rPr>
        <w:t>Бюджетная отчётность Комитета</w:t>
      </w:r>
    </w:p>
    <w:p w:rsidR="005A4875" w:rsidRPr="00C84AAD" w:rsidRDefault="005A4875" w:rsidP="005A4875">
      <w:pPr>
        <w:ind w:firstLine="720"/>
        <w:jc w:val="both"/>
      </w:pPr>
      <w:r w:rsidRPr="00814743">
        <w:t xml:space="preserve">Бюджетная отчетность представлена Комитетом в комитет финансов Волгоградской области </w:t>
      </w:r>
      <w:r w:rsidR="00B0588C" w:rsidRPr="00814743">
        <w:t xml:space="preserve">(далее - </w:t>
      </w:r>
      <w:proofErr w:type="spellStart"/>
      <w:r w:rsidR="00B0588C" w:rsidRPr="00814743">
        <w:t>Облфин</w:t>
      </w:r>
      <w:proofErr w:type="spellEnd"/>
      <w:r w:rsidR="00B0588C" w:rsidRPr="00814743">
        <w:t xml:space="preserve">) </w:t>
      </w:r>
      <w:r w:rsidRPr="00814743">
        <w:t>0</w:t>
      </w:r>
      <w:r w:rsidR="00665896" w:rsidRPr="00814743">
        <w:t>8</w:t>
      </w:r>
      <w:r w:rsidRPr="00814743">
        <w:t>.02.201</w:t>
      </w:r>
      <w:r w:rsidR="00665896" w:rsidRPr="00814743">
        <w:t>6</w:t>
      </w:r>
      <w:r w:rsidRPr="00814743">
        <w:t xml:space="preserve">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 w:rsidR="00A74A2D" w:rsidRPr="00814743">
        <w:t>(далее – Инструкция №</w:t>
      </w:r>
      <w:r w:rsidRPr="00814743">
        <w:t xml:space="preserve">191н). </w:t>
      </w:r>
    </w:p>
    <w:p w:rsidR="005A4875" w:rsidRPr="00C84AAD" w:rsidRDefault="005A4875" w:rsidP="00DF6466">
      <w:pPr>
        <w:spacing w:line="240" w:lineRule="atLeast"/>
        <w:ind w:firstLine="709"/>
        <w:jc w:val="both"/>
      </w:pPr>
      <w:r w:rsidRPr="00C84AAD">
        <w:t>По комплектности бюджетной отчетности Комитета за 201</w:t>
      </w:r>
      <w:r w:rsidR="007D4619" w:rsidRPr="00C84AAD">
        <w:t>6</w:t>
      </w:r>
      <w:r w:rsidRPr="00C84AAD">
        <w:t xml:space="preserve"> год нарушений не установлено. Комитетом не представлены </w:t>
      </w:r>
      <w:r w:rsidR="00814743" w:rsidRPr="00C84AAD">
        <w:t xml:space="preserve">отдельные </w:t>
      </w:r>
      <w:r w:rsidRPr="00C84AAD">
        <w:t>формы отчетности, не имеющие числового значения</w:t>
      </w:r>
      <w:r w:rsidR="00814743" w:rsidRPr="00C84AAD">
        <w:t xml:space="preserve"> </w:t>
      </w:r>
      <w:r w:rsidRPr="00C84AAD">
        <w:t>и не подлежащие представлению в соответствии с п.8 Инструкции №191н</w:t>
      </w:r>
      <w:r w:rsidR="00B0588C" w:rsidRPr="00C84AAD">
        <w:t xml:space="preserve">, о чем имеется соответствующая запись в </w:t>
      </w:r>
      <w:r w:rsidR="00B42AE3">
        <w:t>П</w:t>
      </w:r>
      <w:r w:rsidR="00B0588C" w:rsidRPr="00C84AAD">
        <w:t>ояснительной записке</w:t>
      </w:r>
      <w:r w:rsidRPr="00C84AAD">
        <w:t xml:space="preserve">. </w:t>
      </w:r>
    </w:p>
    <w:p w:rsidR="00A74A2D" w:rsidRPr="00C84AAD" w:rsidRDefault="00A74A2D" w:rsidP="00D77CD7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3F0B53" w:rsidRPr="00C84AAD" w:rsidRDefault="003F0B53" w:rsidP="003F0B53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C84AAD">
        <w:rPr>
          <w:b/>
          <w:i/>
        </w:rPr>
        <w:t>Исполнение плановых назначений по закрепленным доходам</w:t>
      </w:r>
    </w:p>
    <w:p w:rsidR="003F0B53" w:rsidRPr="00C84AAD" w:rsidRDefault="003F0B53" w:rsidP="003F0B53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</w:t>
      </w:r>
      <w:r w:rsidR="00A826C1"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Комитетом</w:t>
      </w:r>
      <w:r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</w:t>
      </w:r>
      <w:r w:rsidR="00D15E9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фактическом поступлении за 201</w:t>
      </w:r>
      <w:r w:rsidR="00103957"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6</w:t>
      </w:r>
      <w:r w:rsidRPr="00C84AA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3F0B53" w:rsidRPr="00C84AAD" w:rsidRDefault="003F0B53" w:rsidP="003F0B53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C84AAD">
        <w:rPr>
          <w:i/>
          <w:sz w:val="20"/>
          <w:szCs w:val="20"/>
        </w:rPr>
        <w:t>тыс. руб</w:t>
      </w:r>
      <w:r w:rsidR="00F75A42" w:rsidRPr="00C84AAD">
        <w:rPr>
          <w:i/>
          <w:sz w:val="20"/>
          <w:szCs w:val="20"/>
        </w:rPr>
        <w:t>лей</w:t>
      </w:r>
    </w:p>
    <w:tbl>
      <w:tblPr>
        <w:tblW w:w="9894" w:type="dxa"/>
        <w:tblInd w:w="85" w:type="dxa"/>
        <w:tblLook w:val="04A0"/>
      </w:tblPr>
      <w:tblGrid>
        <w:gridCol w:w="4134"/>
        <w:gridCol w:w="1900"/>
        <w:gridCol w:w="1960"/>
        <w:gridCol w:w="1900"/>
      </w:tblGrid>
      <w:tr w:rsidR="00103957" w:rsidRPr="00C84AAD" w:rsidTr="00103957">
        <w:trPr>
          <w:trHeight w:val="315"/>
        </w:trPr>
        <w:tc>
          <w:tcPr>
            <w:tcW w:w="4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%% исполнения</w:t>
            </w:r>
          </w:p>
        </w:tc>
      </w:tr>
      <w:tr w:rsidR="00103957" w:rsidRPr="00C84AAD" w:rsidTr="00103957">
        <w:trPr>
          <w:trHeight w:val="315"/>
        </w:trPr>
        <w:tc>
          <w:tcPr>
            <w:tcW w:w="4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957" w:rsidRPr="00C84AAD" w:rsidRDefault="00103957" w:rsidP="00103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03957" w:rsidRPr="00C84AAD" w:rsidRDefault="00103957" w:rsidP="00103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03957" w:rsidRPr="00C84AAD" w:rsidRDefault="00103957" w:rsidP="00103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957" w:rsidRPr="00C84AAD" w:rsidRDefault="00103957" w:rsidP="00103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3957" w:rsidRPr="00C84AAD" w:rsidTr="00267A72">
        <w:trPr>
          <w:trHeight w:val="330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5 115,6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4 708,4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92,04%</w:t>
            </w:r>
          </w:p>
        </w:tc>
      </w:tr>
      <w:tr w:rsidR="00103957" w:rsidRPr="00C84AAD" w:rsidTr="00267A72">
        <w:trPr>
          <w:trHeight w:val="330"/>
        </w:trPr>
        <w:tc>
          <w:tcPr>
            <w:tcW w:w="4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i/>
                <w:iCs/>
                <w:sz w:val="20"/>
                <w:szCs w:val="20"/>
              </w:rPr>
            </w:pPr>
            <w:r w:rsidRPr="00C84AAD">
              <w:rPr>
                <w:i/>
                <w:iCs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rPr>
                <w:rFonts w:ascii="Calibri" w:hAnsi="Calibri" w:cs="Calibri"/>
                <w:sz w:val="22"/>
                <w:szCs w:val="22"/>
              </w:rPr>
            </w:pPr>
            <w:r w:rsidRPr="00C84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rPr>
                <w:rFonts w:ascii="Calibri" w:hAnsi="Calibri" w:cs="Calibri"/>
                <w:sz w:val="22"/>
                <w:szCs w:val="22"/>
              </w:rPr>
            </w:pPr>
            <w:r w:rsidRPr="00C84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rPr>
                <w:rFonts w:ascii="Calibri" w:hAnsi="Calibri" w:cs="Calibri"/>
                <w:sz w:val="22"/>
                <w:szCs w:val="22"/>
              </w:rPr>
            </w:pPr>
            <w:r w:rsidRPr="00C84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03957" w:rsidRPr="00C84AAD" w:rsidTr="00267A72">
        <w:trPr>
          <w:trHeight w:val="315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>550,5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>492,2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89,41%</w:t>
            </w:r>
          </w:p>
        </w:tc>
      </w:tr>
      <w:tr w:rsidR="00103957" w:rsidRPr="00C84AAD" w:rsidTr="00267A72">
        <w:trPr>
          <w:trHeight w:val="1067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68,5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68,5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03957" w:rsidRPr="00C84AAD" w:rsidTr="00267A72">
        <w:trPr>
          <w:trHeight w:val="858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 xml:space="preserve">Доходы, поступающие в порядке возмещения бюджету субъекта Российской Федерации расходов, направленных на покрытие процессуальных издержек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3,9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3,9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03957" w:rsidRPr="00C84AAD" w:rsidTr="00267A72">
        <w:trPr>
          <w:trHeight w:val="886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 xml:space="preserve">Доходы, поступающие в порядке возмещения расходов, понесенных в связи с эксплуатацией  имущества субъектов Российской Федерации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417,2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366,4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87,82%</w:t>
            </w:r>
          </w:p>
        </w:tc>
      </w:tr>
      <w:tr w:rsidR="00103957" w:rsidRPr="00C84AAD" w:rsidTr="00267A72">
        <w:trPr>
          <w:trHeight w:val="488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>Прочие доходы от компенсации затрат  бюджетов субъектов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55,6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31,5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56,65%</w:t>
            </w:r>
          </w:p>
        </w:tc>
      </w:tr>
      <w:tr w:rsidR="00103957" w:rsidRPr="00C84AAD" w:rsidTr="00267A72">
        <w:trPr>
          <w:trHeight w:val="807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245078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84AAD">
              <w:rPr>
                <w:sz w:val="20"/>
                <w:szCs w:val="20"/>
              </w:rPr>
              <w:t>выгодоприобретателем</w:t>
            </w:r>
            <w:proofErr w:type="spellEnd"/>
            <w:r w:rsidRPr="00C84AAD">
              <w:rPr>
                <w:sz w:val="20"/>
                <w:szCs w:val="20"/>
              </w:rPr>
              <w:t xml:space="preserve"> выступают получ</w:t>
            </w:r>
            <w:r w:rsidR="00245078">
              <w:rPr>
                <w:sz w:val="20"/>
                <w:szCs w:val="20"/>
              </w:rPr>
              <w:t>а</w:t>
            </w:r>
            <w:r w:rsidRPr="00C84AAD">
              <w:rPr>
                <w:sz w:val="20"/>
                <w:szCs w:val="20"/>
              </w:rPr>
              <w:t>тели средств субъектов РФ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5,3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5,3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03957" w:rsidRPr="00C84AAD" w:rsidTr="00267A72">
        <w:trPr>
          <w:trHeight w:val="823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>Прочие поступления от денежных взысканий (штрафов) и иных сумм в возмещение ущерба, зачисляемого в бюджеты субъектов РФ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Cs/>
                <w:iCs/>
                <w:sz w:val="20"/>
                <w:szCs w:val="20"/>
              </w:rPr>
            </w:pPr>
            <w:r w:rsidRPr="00C84AAD">
              <w:rPr>
                <w:bCs/>
                <w:iCs/>
                <w:sz w:val="20"/>
                <w:szCs w:val="20"/>
              </w:rPr>
              <w:t>16,6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3957" w:rsidRPr="00C84AAD" w:rsidTr="00267A72">
        <w:trPr>
          <w:trHeight w:val="315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18"/>
              </w:rPr>
              <w:t xml:space="preserve">Безвозмездные поступления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>4 565,1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>4 216,2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92,36%</w:t>
            </w:r>
          </w:p>
        </w:tc>
      </w:tr>
      <w:tr w:rsidR="00103957" w:rsidRPr="00C84AAD" w:rsidTr="00267A72">
        <w:trPr>
          <w:trHeight w:val="960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18"/>
              </w:rPr>
              <w:t>Субвенции бюджетам субъектов РФ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4 565,1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4 565,1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sz w:val="20"/>
                <w:szCs w:val="20"/>
              </w:rPr>
            </w:pPr>
            <w:r w:rsidRPr="00C84AAD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03957" w:rsidRPr="00C84AAD" w:rsidTr="00267A72">
        <w:trPr>
          <w:trHeight w:val="549"/>
        </w:trPr>
        <w:tc>
          <w:tcPr>
            <w:tcW w:w="4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03957" w:rsidRPr="00C84AAD" w:rsidRDefault="00103957" w:rsidP="00103957">
            <w:pPr>
              <w:rPr>
                <w:sz w:val="20"/>
                <w:szCs w:val="20"/>
              </w:rPr>
            </w:pPr>
            <w:r w:rsidRPr="00C84AAD">
              <w:rPr>
                <w:sz w:val="20"/>
                <w:szCs w:val="20"/>
              </w:rPr>
              <w:t>Возврат субсидий, субвенций и иных межбюджетных трансфертов, имеющих целевое назначение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4AA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84AAD">
              <w:rPr>
                <w:b/>
                <w:bCs/>
                <w:i/>
                <w:iCs/>
                <w:sz w:val="20"/>
                <w:szCs w:val="20"/>
              </w:rPr>
              <w:t>-348,9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3957" w:rsidRPr="00C84AAD" w:rsidRDefault="00103957" w:rsidP="00103957">
            <w:pPr>
              <w:rPr>
                <w:rFonts w:ascii="Calibri" w:hAnsi="Calibri" w:cs="Calibri"/>
                <w:sz w:val="22"/>
                <w:szCs w:val="22"/>
              </w:rPr>
            </w:pPr>
            <w:r w:rsidRPr="00C84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C84AAD" w:rsidRDefault="00C84AAD" w:rsidP="006646B7">
      <w:pPr>
        <w:ind w:firstLine="851"/>
        <w:jc w:val="both"/>
      </w:pPr>
    </w:p>
    <w:p w:rsidR="00103957" w:rsidRPr="00C84AAD" w:rsidRDefault="003C6A37" w:rsidP="006646B7">
      <w:pPr>
        <w:ind w:firstLine="851"/>
        <w:jc w:val="both"/>
      </w:pPr>
      <w:r w:rsidRPr="00C84AAD">
        <w:t xml:space="preserve">В целом доходы Комитета </w:t>
      </w:r>
      <w:r w:rsidR="00355961">
        <w:t>исполнены на</w:t>
      </w:r>
      <w:r w:rsidRPr="00C84AAD">
        <w:t xml:space="preserve"> 92,0% </w:t>
      </w:r>
      <w:r w:rsidR="00D15E99">
        <w:t xml:space="preserve">от </w:t>
      </w:r>
      <w:r w:rsidRPr="00C84AAD">
        <w:t>плановых назначений, в том числе налоговые и неналоговые</w:t>
      </w:r>
      <w:r w:rsidR="00D15E99">
        <w:t xml:space="preserve"> </w:t>
      </w:r>
      <w:r w:rsidR="00355961">
        <w:t xml:space="preserve">на </w:t>
      </w:r>
      <w:r w:rsidR="00D15E99" w:rsidRPr="00C84AAD">
        <w:t>89,4%</w:t>
      </w:r>
      <w:r w:rsidRPr="00C84AAD">
        <w:t>, безвозмездные поступления</w:t>
      </w:r>
      <w:r w:rsidR="00D15E99">
        <w:t xml:space="preserve"> </w:t>
      </w:r>
      <w:r w:rsidR="005870C7">
        <w:t xml:space="preserve">- </w:t>
      </w:r>
      <w:r w:rsidR="00D15E99" w:rsidRPr="00C84AAD">
        <w:t>92,4</w:t>
      </w:r>
      <w:r w:rsidR="00D15E99">
        <w:t xml:space="preserve"> процента</w:t>
      </w:r>
      <w:r w:rsidRPr="00C84AAD">
        <w:t xml:space="preserve">. Не выполнены </w:t>
      </w:r>
      <w:r w:rsidRPr="00C84AAD">
        <w:lastRenderedPageBreak/>
        <w:t>плановые назначения по доходам, поступающим в порядке возмещения расходов, понесенных в связи с эксплуатацией имущества субъектов РФ</w:t>
      </w:r>
      <w:r w:rsidR="00F75A42" w:rsidRPr="00C84AAD">
        <w:t>, так как У</w:t>
      </w:r>
      <w:r w:rsidRPr="00C84AAD">
        <w:t>правлением судебного департамента по Волгоградской области оплата произведена по фактическому потреблен</w:t>
      </w:r>
      <w:r w:rsidR="00D15E99">
        <w:t>ию</w:t>
      </w:r>
      <w:r w:rsidRPr="00C84AAD">
        <w:t xml:space="preserve"> электроэнергии</w:t>
      </w:r>
      <w:r w:rsidR="00D15E99">
        <w:t xml:space="preserve"> в объеме, меньшем </w:t>
      </w:r>
      <w:proofErr w:type="gramStart"/>
      <w:r w:rsidR="00D15E99">
        <w:t>от</w:t>
      </w:r>
      <w:proofErr w:type="gramEnd"/>
      <w:r w:rsidR="00D15E99">
        <w:t xml:space="preserve"> запланированного</w:t>
      </w:r>
      <w:r w:rsidRPr="00C84AAD">
        <w:t>.</w:t>
      </w:r>
    </w:p>
    <w:p w:rsidR="003C6A37" w:rsidRPr="00C84AAD" w:rsidRDefault="006646B7" w:rsidP="006646B7">
      <w:pPr>
        <w:ind w:firstLine="851"/>
        <w:jc w:val="both"/>
      </w:pPr>
      <w:r w:rsidRPr="00596A9F">
        <w:t>Причиной неисполнения прочих доходов от компенсации затрат бюджетов субъектов РФ в Сведениях об исполнении бюджета (ф. 0503164) указано то, что взысканием этих доходов с должников по исполнительным производствам занимается Управление федеральной службы судебных приставов</w:t>
      </w:r>
      <w:r w:rsidR="00596A9F" w:rsidRPr="00596A9F">
        <w:t xml:space="preserve"> (УФССП)</w:t>
      </w:r>
      <w:r w:rsidRPr="00596A9F">
        <w:t xml:space="preserve">. </w:t>
      </w:r>
      <w:r w:rsidR="00596A9F" w:rsidRPr="00596A9F">
        <w:t xml:space="preserve">Согласно пояснениям Комитета в составе данного вида доходов было запланировано поступление средств по судебному решению </w:t>
      </w:r>
      <w:r w:rsidR="00596A9F">
        <w:t>в отношении</w:t>
      </w:r>
      <w:r w:rsidR="00596A9F" w:rsidRPr="00596A9F">
        <w:t xml:space="preserve"> уволившейся сотрудниц</w:t>
      </w:r>
      <w:r w:rsidR="00596A9F">
        <w:t>ы</w:t>
      </w:r>
      <w:r w:rsidR="00596A9F" w:rsidRPr="00596A9F">
        <w:t xml:space="preserve"> за подотчетные марки на сумму 25,0 тыс. руб., однако в течение 2016 года УФССП</w:t>
      </w:r>
      <w:r w:rsidR="00596A9F">
        <w:t xml:space="preserve"> не </w:t>
      </w:r>
      <w:r w:rsidR="00355961">
        <w:t>взыскало</w:t>
      </w:r>
      <w:r w:rsidR="00596A9F">
        <w:t xml:space="preserve"> указанную сумму.</w:t>
      </w:r>
    </w:p>
    <w:p w:rsidR="00103957" w:rsidRPr="00C84AAD" w:rsidRDefault="006646B7" w:rsidP="006646B7">
      <w:pPr>
        <w:ind w:firstLine="851"/>
        <w:jc w:val="both"/>
      </w:pPr>
      <w:r w:rsidRPr="00C84AAD">
        <w:t>По безвозмездным поступлениям в 2016 году произведен возврат субвенции на составление списков кандидатов в присяжные заседатели федеральных судов общей юрисдикции в сумме 348,9 тыс. рублей. Данная субвенция поступила 10.12.2015 и использована в 2015 году не была.</w:t>
      </w:r>
    </w:p>
    <w:bookmarkEnd w:id="0"/>
    <w:p w:rsidR="003F0B53" w:rsidRPr="009016D5" w:rsidRDefault="003F0B53" w:rsidP="003F0B53">
      <w:pPr>
        <w:autoSpaceDE w:val="0"/>
        <w:autoSpaceDN w:val="0"/>
        <w:adjustRightInd w:val="0"/>
        <w:jc w:val="center"/>
        <w:rPr>
          <w:b/>
          <w:i/>
        </w:rPr>
      </w:pPr>
    </w:p>
    <w:p w:rsidR="00423EA0" w:rsidRPr="009016D5" w:rsidRDefault="003F0B53" w:rsidP="00423EA0">
      <w:pPr>
        <w:autoSpaceDE w:val="0"/>
        <w:autoSpaceDN w:val="0"/>
        <w:adjustRightInd w:val="0"/>
        <w:jc w:val="center"/>
        <w:rPr>
          <w:b/>
          <w:i/>
        </w:rPr>
      </w:pPr>
      <w:r w:rsidRPr="009016D5">
        <w:rPr>
          <w:b/>
          <w:i/>
        </w:rPr>
        <w:t>Исполнение  расходов</w:t>
      </w:r>
    </w:p>
    <w:p w:rsidR="009E0975" w:rsidRPr="009016D5" w:rsidRDefault="00356027" w:rsidP="009E0975">
      <w:pPr>
        <w:ind w:firstLine="709"/>
        <w:jc w:val="both"/>
      </w:pPr>
      <w:r w:rsidRPr="009016D5">
        <w:t>Законом об областном бюджете предусмотрены расходы Комитета в 2016 году 359 402,6 тыс. руб</w:t>
      </w:r>
      <w:r w:rsidR="00B42AE3">
        <w:t>.</w:t>
      </w:r>
      <w:r w:rsidRPr="009016D5">
        <w:t xml:space="preserve">, бюджетные назначения утверждены </w:t>
      </w:r>
      <w:r w:rsidR="00D15E99">
        <w:t xml:space="preserve">бюджетной росписью </w:t>
      </w:r>
      <w:r w:rsidRPr="009016D5">
        <w:t>в сумме 353 025,1 тыс. руб</w:t>
      </w:r>
      <w:r w:rsidR="00B42AE3">
        <w:t>.</w:t>
      </w:r>
      <w:r w:rsidRPr="009016D5">
        <w:t>, или на 6 377,5 тыс. руб</w:t>
      </w:r>
      <w:r w:rsidR="00B42AE3">
        <w:t>.</w:t>
      </w:r>
      <w:r w:rsidRPr="009016D5">
        <w:t xml:space="preserve"> меньше. Сокращение бюджетных назначений произведено на основании уведомлений финансового органа после утверждения Закона о бюджете в последней редакции. </w:t>
      </w:r>
      <w:r w:rsidR="009E0975" w:rsidRPr="009016D5">
        <w:t>Анализ исполнения бюджетных назначений Комитета представлен в таблице.</w:t>
      </w:r>
    </w:p>
    <w:p w:rsidR="003F0B53" w:rsidRPr="009016D5" w:rsidRDefault="003F0B53" w:rsidP="003F0B53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9016D5">
        <w:rPr>
          <w:i/>
          <w:sz w:val="20"/>
          <w:szCs w:val="20"/>
        </w:rPr>
        <w:t>тыс. руб</w:t>
      </w:r>
      <w:r w:rsidR="00BD7033" w:rsidRPr="009016D5">
        <w:rPr>
          <w:i/>
          <w:sz w:val="20"/>
          <w:szCs w:val="20"/>
        </w:rPr>
        <w:t>лей</w:t>
      </w:r>
      <w:r w:rsidRPr="009016D5">
        <w:rPr>
          <w:i/>
          <w:sz w:val="20"/>
          <w:szCs w:val="20"/>
        </w:rPr>
        <w:t>.</w:t>
      </w:r>
    </w:p>
    <w:tbl>
      <w:tblPr>
        <w:tblW w:w="10119" w:type="dxa"/>
        <w:tblInd w:w="85" w:type="dxa"/>
        <w:tblLook w:val="04A0"/>
      </w:tblPr>
      <w:tblGrid>
        <w:gridCol w:w="3708"/>
        <w:gridCol w:w="1116"/>
        <w:gridCol w:w="973"/>
        <w:gridCol w:w="959"/>
        <w:gridCol w:w="1159"/>
        <w:gridCol w:w="1244"/>
        <w:gridCol w:w="960"/>
      </w:tblGrid>
      <w:tr w:rsidR="00243DE7" w:rsidRPr="009016D5" w:rsidTr="00E31509">
        <w:trPr>
          <w:trHeight w:val="330"/>
        </w:trPr>
        <w:tc>
          <w:tcPr>
            <w:tcW w:w="399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КБК</w:t>
            </w:r>
          </w:p>
        </w:tc>
        <w:tc>
          <w:tcPr>
            <w:tcW w:w="973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Закон о бюджете</w:t>
            </w:r>
          </w:p>
        </w:tc>
        <w:tc>
          <w:tcPr>
            <w:tcW w:w="95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proofErr w:type="spellStart"/>
            <w:r w:rsidRPr="009016D5">
              <w:rPr>
                <w:sz w:val="20"/>
                <w:szCs w:val="20"/>
              </w:rPr>
              <w:t>Бюдж</w:t>
            </w:r>
            <w:proofErr w:type="spellEnd"/>
            <w:r w:rsidRPr="009016D5">
              <w:rPr>
                <w:sz w:val="20"/>
                <w:szCs w:val="20"/>
              </w:rPr>
              <w:t>. роспись</w:t>
            </w:r>
          </w:p>
        </w:tc>
        <w:tc>
          <w:tcPr>
            <w:tcW w:w="115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Исполнено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К бюджетной росписи</w:t>
            </w:r>
          </w:p>
        </w:tc>
      </w:tr>
      <w:tr w:rsidR="00243DE7" w:rsidRPr="009016D5" w:rsidTr="00E31509">
        <w:trPr>
          <w:trHeight w:val="315"/>
        </w:trPr>
        <w:tc>
          <w:tcPr>
            <w:tcW w:w="3992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Отклон</w:t>
            </w:r>
            <w:r w:rsidR="00356027" w:rsidRPr="009016D5">
              <w:rPr>
                <w:sz w:val="20"/>
                <w:szCs w:val="20"/>
              </w:rPr>
              <w:t>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35602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 xml:space="preserve">% </w:t>
            </w:r>
            <w:proofErr w:type="spellStart"/>
            <w:r w:rsidRPr="009016D5">
              <w:rPr>
                <w:sz w:val="20"/>
                <w:szCs w:val="20"/>
              </w:rPr>
              <w:t>испол</w:t>
            </w:r>
            <w:proofErr w:type="spellEnd"/>
          </w:p>
          <w:p w:rsidR="00356027" w:rsidRPr="009016D5" w:rsidRDefault="00356027" w:rsidP="00243DE7">
            <w:pPr>
              <w:jc w:val="center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нения</w:t>
            </w:r>
          </w:p>
        </w:tc>
      </w:tr>
      <w:tr w:rsidR="00243DE7" w:rsidRPr="009016D5" w:rsidTr="00267A72">
        <w:trPr>
          <w:trHeight w:val="330"/>
        </w:trPr>
        <w:tc>
          <w:tcPr>
            <w:tcW w:w="39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359 402,6</w:t>
            </w:r>
          </w:p>
        </w:tc>
        <w:tc>
          <w:tcPr>
            <w:tcW w:w="9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353 025,1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344 266,6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-8 758,5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97,5%</w:t>
            </w:r>
          </w:p>
        </w:tc>
      </w:tr>
      <w:tr w:rsidR="00243DE7" w:rsidRPr="009016D5" w:rsidTr="00267A72">
        <w:trPr>
          <w:trHeight w:val="31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342 138,6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335 798,0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327 795,2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-8 002,8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97,6%</w:t>
            </w:r>
          </w:p>
        </w:tc>
      </w:tr>
      <w:tr w:rsidR="00243DE7" w:rsidRPr="009016D5" w:rsidTr="00267A72">
        <w:trPr>
          <w:trHeight w:val="780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Обеспечение деятельности государственных органов Волгоградской 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9000001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335 790,7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329 360,5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321 697,2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-7 663,3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97,7%</w:t>
            </w:r>
          </w:p>
        </w:tc>
      </w:tr>
      <w:tr w:rsidR="00243DE7" w:rsidRPr="009016D5" w:rsidTr="00267A72">
        <w:trPr>
          <w:trHeight w:val="52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Расходы на повышение квалификации мировых судей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99002007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403,0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374,2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334,7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-39,5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89,4%</w:t>
            </w:r>
          </w:p>
        </w:tc>
      </w:tr>
      <w:tr w:rsidR="00243DE7" w:rsidRPr="009016D5" w:rsidTr="00267A72">
        <w:trPr>
          <w:trHeight w:val="31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99005120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4 565,1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4 565,1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4 565,1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100,0%</w:t>
            </w:r>
          </w:p>
        </w:tc>
      </w:tr>
      <w:tr w:rsidR="00243DE7" w:rsidRPr="009016D5" w:rsidTr="00267A72">
        <w:trPr>
          <w:trHeight w:val="67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99008014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1 340,6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1 459,0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1 159,0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-300,0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79,4%</w:t>
            </w:r>
          </w:p>
        </w:tc>
      </w:tr>
      <w:tr w:rsidR="00243DE7" w:rsidRPr="009016D5" w:rsidTr="00267A72">
        <w:trPr>
          <w:trHeight w:val="31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99008087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39,2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100,0%</w:t>
            </w:r>
          </w:p>
        </w:tc>
      </w:tr>
      <w:tr w:rsidR="00243DE7" w:rsidRPr="009016D5" w:rsidTr="00267A72">
        <w:trPr>
          <w:trHeight w:val="52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16 784,0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16 747,1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16 023,3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-723,8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95,7%</w:t>
            </w:r>
          </w:p>
        </w:tc>
      </w:tr>
      <w:tr w:rsidR="00243DE7" w:rsidRPr="009016D5" w:rsidTr="00267A72">
        <w:trPr>
          <w:trHeight w:val="780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990000059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16 774,8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16 738,9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16 016,6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-722,3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95,7%</w:t>
            </w:r>
          </w:p>
        </w:tc>
      </w:tr>
      <w:tr w:rsidR="00243DE7" w:rsidRPr="009016D5" w:rsidTr="00267A72">
        <w:trPr>
          <w:trHeight w:val="103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990008014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7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8,2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81,7%</w:t>
            </w:r>
          </w:p>
        </w:tc>
      </w:tr>
      <w:tr w:rsidR="00243DE7" w:rsidRPr="009016D5" w:rsidTr="00267A72">
        <w:trPr>
          <w:trHeight w:val="52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BA0690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448,1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-31,9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93,4%</w:t>
            </w:r>
          </w:p>
        </w:tc>
      </w:tr>
      <w:tr w:rsidR="00243DE7" w:rsidRPr="009016D5" w:rsidTr="00267A72">
        <w:trPr>
          <w:trHeight w:val="525"/>
        </w:trPr>
        <w:tc>
          <w:tcPr>
            <w:tcW w:w="39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Юридическая помощь отдельным категориям граждан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990008005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480,0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480,0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448,1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-31,9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93,4%</w:t>
            </w:r>
          </w:p>
        </w:tc>
      </w:tr>
    </w:tbl>
    <w:p w:rsidR="00243DE7" w:rsidRPr="009016D5" w:rsidRDefault="00243DE7" w:rsidP="003F0B53">
      <w:pPr>
        <w:tabs>
          <w:tab w:val="left" w:pos="0"/>
        </w:tabs>
        <w:ind w:right="-82"/>
        <w:jc w:val="both"/>
        <w:rPr>
          <w:sz w:val="20"/>
          <w:szCs w:val="20"/>
        </w:rPr>
      </w:pPr>
    </w:p>
    <w:p w:rsidR="009F769A" w:rsidRPr="009016D5" w:rsidRDefault="008A48AA" w:rsidP="009F769A">
      <w:pPr>
        <w:autoSpaceDE w:val="0"/>
        <w:autoSpaceDN w:val="0"/>
        <w:adjustRightInd w:val="0"/>
        <w:ind w:firstLine="709"/>
        <w:jc w:val="both"/>
      </w:pPr>
      <w:r w:rsidRPr="009016D5">
        <w:t xml:space="preserve">Расходы, утверждённые Комитету, исполнены на </w:t>
      </w:r>
      <w:r w:rsidR="00356027" w:rsidRPr="009016D5">
        <w:t>97,5</w:t>
      </w:r>
      <w:r w:rsidRPr="009016D5">
        <w:t xml:space="preserve">%, объём неисполненных назначений составил </w:t>
      </w:r>
      <w:r w:rsidR="00356027" w:rsidRPr="009016D5">
        <w:t>8 758,5</w:t>
      </w:r>
      <w:r w:rsidRPr="009016D5">
        <w:t xml:space="preserve"> тыс. рублей.</w:t>
      </w:r>
      <w:r w:rsidR="009016D5" w:rsidRPr="009016D5">
        <w:t xml:space="preserve"> </w:t>
      </w:r>
      <w:r w:rsidR="009F769A" w:rsidRPr="009016D5">
        <w:t xml:space="preserve">Согласно Пояснительной записке (ф. 0503160) и Сведениям о принятых и неисполненных обязательствах (ф. 0503175) в 2016 году основной </w:t>
      </w:r>
      <w:r w:rsidR="009F769A" w:rsidRPr="009016D5">
        <w:lastRenderedPageBreak/>
        <w:t>причиной неисполнения расходов Комитетом и Учреждением явилось неисполнение принятых денежных обязательств, повлекшее образование кредиторской задолженности. Неисполненные денежные обязательства 6 879,1 тыс. руб</w:t>
      </w:r>
      <w:r w:rsidR="00B42AE3">
        <w:t>.</w:t>
      </w:r>
      <w:r w:rsidR="009F769A" w:rsidRPr="009016D5">
        <w:t xml:space="preserve"> в основном </w:t>
      </w:r>
      <w:r w:rsidR="009016D5" w:rsidRPr="009016D5">
        <w:t>связаны</w:t>
      </w:r>
      <w:r w:rsidR="009F769A" w:rsidRPr="009016D5">
        <w:t xml:space="preserve"> с поздним поступлением документов о</w:t>
      </w:r>
      <w:r w:rsidR="00F75A42" w:rsidRPr="009016D5">
        <w:t>т контрагентов (после 23.12.2016</w:t>
      </w:r>
      <w:r w:rsidR="009F769A" w:rsidRPr="009016D5">
        <w:t xml:space="preserve"> – последнего дня приема заявок финансов</w:t>
      </w:r>
      <w:r w:rsidR="00B42AE3">
        <w:t>ым</w:t>
      </w:r>
      <w:r w:rsidR="009F769A" w:rsidRPr="009016D5">
        <w:t xml:space="preserve"> орган</w:t>
      </w:r>
      <w:r w:rsidR="00B42AE3">
        <w:t>ом</w:t>
      </w:r>
      <w:r w:rsidR="009F769A" w:rsidRPr="009016D5">
        <w:t>).</w:t>
      </w:r>
    </w:p>
    <w:p w:rsidR="009F769A" w:rsidRPr="009016D5" w:rsidRDefault="009F769A" w:rsidP="009F769A">
      <w:pPr>
        <w:autoSpaceDE w:val="0"/>
        <w:autoSpaceDN w:val="0"/>
        <w:adjustRightInd w:val="0"/>
        <w:ind w:firstLine="709"/>
        <w:jc w:val="both"/>
      </w:pPr>
      <w:r w:rsidRPr="009016D5">
        <w:t>Экономия по результатам применения конкурентных способов проведения закупок составила 932,5 тыс. рублей.</w:t>
      </w:r>
    </w:p>
    <w:p w:rsidR="009F769A" w:rsidRPr="009016D5" w:rsidRDefault="009F769A" w:rsidP="00214096">
      <w:pPr>
        <w:autoSpaceDE w:val="0"/>
        <w:autoSpaceDN w:val="0"/>
        <w:adjustRightInd w:val="0"/>
        <w:ind w:firstLine="709"/>
        <w:jc w:val="both"/>
      </w:pPr>
    </w:p>
    <w:p w:rsidR="00214096" w:rsidRPr="009016D5" w:rsidRDefault="00214096" w:rsidP="00214096">
      <w:pPr>
        <w:jc w:val="center"/>
        <w:rPr>
          <w:b/>
          <w:i/>
        </w:rPr>
      </w:pPr>
      <w:r w:rsidRPr="009016D5">
        <w:rPr>
          <w:b/>
          <w:i/>
        </w:rPr>
        <w:t>Сравнительный анализ показателей исполнения расходов областного бюджета</w:t>
      </w:r>
    </w:p>
    <w:p w:rsidR="00423EA0" w:rsidRPr="009016D5" w:rsidRDefault="00214096" w:rsidP="00423EA0">
      <w:pPr>
        <w:jc w:val="center"/>
        <w:rPr>
          <w:b/>
          <w:i/>
        </w:rPr>
      </w:pPr>
      <w:r w:rsidRPr="009016D5">
        <w:rPr>
          <w:b/>
          <w:i/>
        </w:rPr>
        <w:t>за отчетный год и предыдущий год</w:t>
      </w:r>
    </w:p>
    <w:p w:rsidR="00214096" w:rsidRPr="009016D5" w:rsidRDefault="00214096" w:rsidP="00214096">
      <w:pPr>
        <w:tabs>
          <w:tab w:val="left" w:pos="0"/>
        </w:tabs>
        <w:ind w:firstLine="709"/>
        <w:jc w:val="both"/>
      </w:pPr>
      <w:r w:rsidRPr="009016D5">
        <w:t>Анализ показателей исполнения расходов областного бюджета за 201</w:t>
      </w:r>
      <w:r w:rsidR="005171A1" w:rsidRPr="009016D5">
        <w:t>6</w:t>
      </w:r>
      <w:r w:rsidRPr="009016D5">
        <w:t xml:space="preserve"> год в сравнении с 201</w:t>
      </w:r>
      <w:r w:rsidR="005171A1" w:rsidRPr="009016D5">
        <w:t>5</w:t>
      </w:r>
      <w:r w:rsidRPr="009016D5">
        <w:t xml:space="preserve"> годом приведен в таблице.</w:t>
      </w:r>
    </w:p>
    <w:p w:rsidR="003F0B53" w:rsidRPr="009016D5" w:rsidRDefault="003F0B53" w:rsidP="003F0B53">
      <w:pPr>
        <w:ind w:firstLine="708"/>
        <w:jc w:val="right"/>
        <w:rPr>
          <w:i/>
          <w:sz w:val="20"/>
          <w:szCs w:val="20"/>
        </w:rPr>
      </w:pPr>
      <w:r w:rsidRPr="009016D5">
        <w:rPr>
          <w:i/>
          <w:sz w:val="20"/>
          <w:szCs w:val="20"/>
        </w:rPr>
        <w:t>тыс. руб</w:t>
      </w:r>
      <w:r w:rsidR="00BD7033" w:rsidRPr="009016D5">
        <w:rPr>
          <w:i/>
          <w:sz w:val="20"/>
          <w:szCs w:val="20"/>
        </w:rPr>
        <w:t>лей</w:t>
      </w:r>
      <w:r w:rsidRPr="009016D5">
        <w:rPr>
          <w:i/>
          <w:sz w:val="20"/>
          <w:szCs w:val="20"/>
        </w:rPr>
        <w:t>.</w:t>
      </w:r>
    </w:p>
    <w:tbl>
      <w:tblPr>
        <w:tblW w:w="9935" w:type="dxa"/>
        <w:tblInd w:w="85" w:type="dxa"/>
        <w:tblLook w:val="04A0"/>
      </w:tblPr>
      <w:tblGrid>
        <w:gridCol w:w="4843"/>
        <w:gridCol w:w="1116"/>
        <w:gridCol w:w="1010"/>
        <w:gridCol w:w="1046"/>
        <w:gridCol w:w="960"/>
        <w:gridCol w:w="960"/>
      </w:tblGrid>
      <w:tr w:rsidR="00243DE7" w:rsidRPr="009016D5" w:rsidTr="00267A72">
        <w:trPr>
          <w:trHeight w:val="330"/>
        </w:trPr>
        <w:tc>
          <w:tcPr>
            <w:tcW w:w="484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016D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6"/>
              </w:rPr>
              <w:t>КБК</w:t>
            </w:r>
          </w:p>
        </w:tc>
        <w:tc>
          <w:tcPr>
            <w:tcW w:w="205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Изменение</w:t>
            </w:r>
          </w:p>
        </w:tc>
      </w:tr>
      <w:tr w:rsidR="00243DE7" w:rsidRPr="009016D5" w:rsidTr="00267A72">
        <w:trPr>
          <w:trHeight w:val="315"/>
        </w:trPr>
        <w:tc>
          <w:tcPr>
            <w:tcW w:w="4843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3DE7" w:rsidRPr="009016D5" w:rsidRDefault="00243DE7" w:rsidP="00243D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в %</w:t>
            </w:r>
          </w:p>
        </w:tc>
      </w:tr>
      <w:tr w:rsidR="00243DE7" w:rsidRPr="009016D5" w:rsidTr="00267A72">
        <w:trPr>
          <w:trHeight w:val="330"/>
        </w:trPr>
        <w:tc>
          <w:tcPr>
            <w:tcW w:w="48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22"/>
                <w:szCs w:val="22"/>
              </w:rPr>
            </w:pPr>
            <w:r w:rsidRPr="009016D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18"/>
                <w:szCs w:val="18"/>
              </w:rPr>
            </w:pPr>
            <w:r w:rsidRPr="009016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353 104,6</w:t>
            </w:r>
          </w:p>
        </w:tc>
        <w:tc>
          <w:tcPr>
            <w:tcW w:w="10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344 266,6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-8 838,0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97,5%</w:t>
            </w:r>
          </w:p>
        </w:tc>
      </w:tr>
      <w:tr w:rsidR="00243DE7" w:rsidRPr="009016D5" w:rsidTr="00267A72">
        <w:trPr>
          <w:trHeight w:val="315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22"/>
                <w:szCs w:val="22"/>
              </w:rPr>
            </w:pPr>
            <w:r w:rsidRPr="009016D5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335 998,7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327 795,2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-8 203,5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97,6%</w:t>
            </w:r>
          </w:p>
        </w:tc>
      </w:tr>
      <w:tr w:rsidR="00243DE7" w:rsidRPr="009016D5" w:rsidTr="00267A72">
        <w:trPr>
          <w:trHeight w:val="75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Обеспечение деятельности государственн</w:t>
            </w:r>
            <w:r w:rsidR="00E97D07" w:rsidRPr="009016D5">
              <w:rPr>
                <w:sz w:val="22"/>
                <w:szCs w:val="22"/>
              </w:rPr>
              <w:t xml:space="preserve">ых органов Волгоградской </w:t>
            </w:r>
            <w:r w:rsidRPr="009016D5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900</w:t>
            </w:r>
            <w:r w:rsidR="00D9452A" w:rsidRPr="009016D5">
              <w:rPr>
                <w:sz w:val="20"/>
                <w:szCs w:val="20"/>
              </w:rPr>
              <w:t>0</w:t>
            </w:r>
            <w:r w:rsidRPr="009016D5">
              <w:rPr>
                <w:sz w:val="20"/>
                <w:szCs w:val="20"/>
              </w:rPr>
              <w:t>0001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334 358,9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321 697,2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FF6BE4">
            <w:pPr>
              <w:ind w:left="-162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-12 661,7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96,2%</w:t>
            </w:r>
          </w:p>
        </w:tc>
      </w:tr>
      <w:tr w:rsidR="00243DE7" w:rsidRPr="009016D5" w:rsidTr="00267A72">
        <w:trPr>
          <w:trHeight w:val="51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Расходы на повышение квалификации мировых судей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99002007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362,1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334,7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-27,4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92,4%</w:t>
            </w:r>
          </w:p>
        </w:tc>
      </w:tr>
      <w:tr w:rsidR="00243DE7" w:rsidRPr="009016D5" w:rsidTr="00267A72">
        <w:trPr>
          <w:trHeight w:val="315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99005120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4 565,1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4 565,1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100,0%</w:t>
            </w:r>
          </w:p>
        </w:tc>
      </w:tr>
      <w:tr w:rsidR="00243DE7" w:rsidRPr="009016D5" w:rsidTr="00267A72">
        <w:trPr>
          <w:trHeight w:val="75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99008014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1 197,2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1 159,0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-38,2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96,8%</w:t>
            </w:r>
          </w:p>
        </w:tc>
      </w:tr>
      <w:tr w:rsidR="00243DE7" w:rsidRPr="009016D5" w:rsidTr="00267A72">
        <w:trPr>
          <w:trHeight w:val="315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99008087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80,5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-41,3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48,7%</w:t>
            </w:r>
          </w:p>
        </w:tc>
      </w:tr>
      <w:tr w:rsidR="00243DE7" w:rsidRPr="009016D5" w:rsidTr="00267A72">
        <w:trPr>
          <w:trHeight w:val="51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22"/>
                <w:szCs w:val="22"/>
              </w:rPr>
            </w:pPr>
            <w:r w:rsidRPr="009016D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16 492,2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16 023,3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-468,9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97,2%</w:t>
            </w:r>
          </w:p>
        </w:tc>
      </w:tr>
      <w:tr w:rsidR="00243DE7" w:rsidRPr="009016D5" w:rsidTr="00267A72">
        <w:trPr>
          <w:trHeight w:val="75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990000059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16 485,3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16 016,6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-468,7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97,2%</w:t>
            </w:r>
          </w:p>
        </w:tc>
      </w:tr>
      <w:tr w:rsidR="00243DE7" w:rsidRPr="009016D5" w:rsidTr="00267A72">
        <w:trPr>
          <w:trHeight w:val="75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990008014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6,9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-0,2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97,1%</w:t>
            </w:r>
          </w:p>
        </w:tc>
      </w:tr>
      <w:tr w:rsidR="00243DE7" w:rsidRPr="009016D5" w:rsidTr="00267A72">
        <w:trPr>
          <w:trHeight w:val="51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b/>
                <w:bCs/>
                <w:sz w:val="22"/>
                <w:szCs w:val="22"/>
              </w:rPr>
            </w:pPr>
            <w:r w:rsidRPr="009016D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bCs/>
                <w:sz w:val="20"/>
                <w:szCs w:val="20"/>
              </w:rPr>
            </w:pPr>
            <w:r w:rsidRPr="009016D5">
              <w:rPr>
                <w:b/>
                <w:bCs/>
                <w:sz w:val="20"/>
                <w:szCs w:val="20"/>
              </w:rPr>
              <w:t>448,1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-165,6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b/>
                <w:sz w:val="20"/>
                <w:szCs w:val="20"/>
              </w:rPr>
            </w:pPr>
            <w:r w:rsidRPr="009016D5">
              <w:rPr>
                <w:b/>
                <w:sz w:val="20"/>
                <w:szCs w:val="20"/>
              </w:rPr>
              <w:t>73,0%</w:t>
            </w:r>
          </w:p>
        </w:tc>
      </w:tr>
      <w:tr w:rsidR="00243DE7" w:rsidRPr="009016D5" w:rsidTr="00267A72">
        <w:trPr>
          <w:trHeight w:val="510"/>
        </w:trPr>
        <w:tc>
          <w:tcPr>
            <w:tcW w:w="4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rPr>
                <w:sz w:val="22"/>
                <w:szCs w:val="22"/>
              </w:rPr>
            </w:pPr>
            <w:r w:rsidRPr="009016D5">
              <w:rPr>
                <w:sz w:val="22"/>
                <w:szCs w:val="22"/>
              </w:rPr>
              <w:t>Юридическая помощь отдельным категориям граждан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990008005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7C447E">
            <w:pPr>
              <w:ind w:left="-90"/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613,7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448,1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-165,6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3DE7" w:rsidRPr="009016D5" w:rsidRDefault="00243DE7" w:rsidP="00243DE7">
            <w:pPr>
              <w:jc w:val="right"/>
              <w:rPr>
                <w:sz w:val="20"/>
                <w:szCs w:val="20"/>
              </w:rPr>
            </w:pPr>
            <w:r w:rsidRPr="009016D5">
              <w:rPr>
                <w:sz w:val="20"/>
                <w:szCs w:val="20"/>
              </w:rPr>
              <w:t>73,0%</w:t>
            </w:r>
          </w:p>
        </w:tc>
      </w:tr>
    </w:tbl>
    <w:p w:rsidR="00243DE7" w:rsidRPr="009016D5" w:rsidRDefault="00243DE7" w:rsidP="003F0B53">
      <w:pPr>
        <w:ind w:firstLine="708"/>
        <w:jc w:val="right"/>
        <w:rPr>
          <w:i/>
          <w:sz w:val="20"/>
          <w:szCs w:val="20"/>
        </w:rPr>
      </w:pPr>
    </w:p>
    <w:p w:rsidR="00243DE7" w:rsidRPr="009016D5" w:rsidRDefault="00243DE7" w:rsidP="00041788">
      <w:pPr>
        <w:ind w:firstLine="708"/>
        <w:jc w:val="both"/>
      </w:pPr>
    </w:p>
    <w:p w:rsidR="00E97D07" w:rsidRPr="009016D5" w:rsidRDefault="00E97D07" w:rsidP="00041788">
      <w:pPr>
        <w:ind w:firstLine="708"/>
        <w:jc w:val="both"/>
      </w:pPr>
      <w:r w:rsidRPr="009016D5">
        <w:t>В 2016 году произошло снижение</w:t>
      </w:r>
      <w:r w:rsidR="003F0B53" w:rsidRPr="009016D5">
        <w:t xml:space="preserve"> расходов </w:t>
      </w:r>
      <w:r w:rsidR="00C16FCA" w:rsidRPr="009016D5">
        <w:t>Комитета</w:t>
      </w:r>
      <w:r w:rsidR="003F0B53" w:rsidRPr="009016D5">
        <w:t xml:space="preserve"> по отношению к 201</w:t>
      </w:r>
      <w:r w:rsidRPr="009016D5">
        <w:t>5</w:t>
      </w:r>
      <w:r w:rsidR="003F0B53" w:rsidRPr="009016D5">
        <w:t xml:space="preserve"> году в общей сложности на </w:t>
      </w:r>
      <w:r w:rsidRPr="009016D5">
        <w:t>8 838,0</w:t>
      </w:r>
      <w:r w:rsidR="009016D5" w:rsidRPr="009016D5">
        <w:t xml:space="preserve"> </w:t>
      </w:r>
      <w:r w:rsidR="003F0B53" w:rsidRPr="009016D5">
        <w:t>тыс. руб</w:t>
      </w:r>
      <w:r w:rsidR="00C6629F">
        <w:t>.</w:t>
      </w:r>
      <w:r w:rsidR="003F0B53" w:rsidRPr="009016D5">
        <w:t xml:space="preserve">, или на </w:t>
      </w:r>
      <w:r w:rsidRPr="009016D5">
        <w:t>2,5</w:t>
      </w:r>
      <w:r w:rsidR="003F0B53" w:rsidRPr="009016D5">
        <w:t xml:space="preserve"> %</w:t>
      </w:r>
      <w:r w:rsidR="00D9452A" w:rsidRPr="009016D5">
        <w:t>, что</w:t>
      </w:r>
      <w:r w:rsidR="009016D5" w:rsidRPr="009016D5">
        <w:t xml:space="preserve"> </w:t>
      </w:r>
      <w:r w:rsidR="008232D7" w:rsidRPr="009016D5">
        <w:t>обусловлено,</w:t>
      </w:r>
      <w:r w:rsidR="003F0B53" w:rsidRPr="009016D5">
        <w:t xml:space="preserve"> в основном</w:t>
      </w:r>
      <w:r w:rsidR="008232D7" w:rsidRPr="009016D5">
        <w:t>,</w:t>
      </w:r>
      <w:r w:rsidR="009016D5" w:rsidRPr="009016D5">
        <w:t xml:space="preserve"> </w:t>
      </w:r>
      <w:r w:rsidRPr="009016D5">
        <w:t>снижением</w:t>
      </w:r>
      <w:r w:rsidR="00081929" w:rsidRPr="009016D5">
        <w:t xml:space="preserve"> расходов на </w:t>
      </w:r>
      <w:r w:rsidR="00D87BA4" w:rsidRPr="009016D5">
        <w:t>обеспечение деятельности</w:t>
      </w:r>
      <w:r w:rsidRPr="009016D5">
        <w:t xml:space="preserve"> Комитета</w:t>
      </w:r>
      <w:r w:rsidR="00C6629F">
        <w:t xml:space="preserve"> </w:t>
      </w:r>
      <w:r w:rsidR="00D9452A" w:rsidRPr="009016D5">
        <w:t xml:space="preserve">(целевая статья </w:t>
      </w:r>
      <w:r w:rsidR="00D9452A" w:rsidRPr="009016D5">
        <w:rPr>
          <w:sz w:val="20"/>
          <w:szCs w:val="20"/>
        </w:rPr>
        <w:t xml:space="preserve">90000001) </w:t>
      </w:r>
      <w:r w:rsidR="00D87BA4" w:rsidRPr="009016D5">
        <w:t xml:space="preserve">на </w:t>
      </w:r>
      <w:r w:rsidRPr="009016D5">
        <w:t>12 661,7 тыс. руб</w:t>
      </w:r>
      <w:r w:rsidR="007F7964" w:rsidRPr="009016D5">
        <w:t>лей</w:t>
      </w:r>
      <w:r w:rsidR="00BD7033" w:rsidRPr="009016D5">
        <w:t>.</w:t>
      </w:r>
    </w:p>
    <w:p w:rsidR="005060A0" w:rsidRPr="009016D5" w:rsidRDefault="00D9452A" w:rsidP="005060A0">
      <w:pPr>
        <w:ind w:firstLine="708"/>
        <w:jc w:val="both"/>
      </w:pPr>
      <w:r w:rsidRPr="009016D5">
        <w:t>На 11 953,6 тыс. руб</w:t>
      </w:r>
      <w:r w:rsidR="00C6629F">
        <w:t>.</w:t>
      </w:r>
      <w:r w:rsidR="00BD7033" w:rsidRPr="009016D5">
        <w:t>,</w:t>
      </w:r>
      <w:r w:rsidR="00C6629F">
        <w:t xml:space="preserve"> </w:t>
      </w:r>
      <w:r w:rsidRPr="009016D5">
        <w:t xml:space="preserve">или </w:t>
      </w:r>
      <w:r w:rsidR="00BD7033" w:rsidRPr="009016D5">
        <w:t xml:space="preserve">на </w:t>
      </w:r>
      <w:r w:rsidRPr="009016D5">
        <w:t>6,6% снизились расходы на оплату труда</w:t>
      </w:r>
      <w:r w:rsidR="005060A0" w:rsidRPr="009016D5">
        <w:t xml:space="preserve">, в том числе за счет сокращения по сравнению с 2015 годом выплаты премий за </w:t>
      </w:r>
      <w:r w:rsidR="005060A0" w:rsidRPr="009016D5">
        <w:rPr>
          <w:rFonts w:eastAsia="Calibri"/>
        </w:rPr>
        <w:t>безупречную и эффективную государственную гражданскую службу на 3 164,5 тыс. рублей</w:t>
      </w:r>
      <w:r w:rsidRPr="009016D5">
        <w:t xml:space="preserve">. </w:t>
      </w:r>
    </w:p>
    <w:p w:rsidR="00C33C47" w:rsidRPr="009016D5" w:rsidRDefault="00D87BA4" w:rsidP="007912AA">
      <w:pPr>
        <w:ind w:firstLine="708"/>
        <w:jc w:val="both"/>
      </w:pPr>
      <w:r w:rsidRPr="009016D5">
        <w:t>Также на 4 554,0 тыс. руб</w:t>
      </w:r>
      <w:r w:rsidR="00C6629F">
        <w:t>.</w:t>
      </w:r>
      <w:r w:rsidR="00470607" w:rsidRPr="009016D5">
        <w:t>, или на 11,8%</w:t>
      </w:r>
      <w:r w:rsidRPr="009016D5">
        <w:t xml:space="preserve"> снизились расходы на оплату услуг связи. Согласно Пояснительной записке </w:t>
      </w:r>
      <w:r w:rsidR="00E346B2" w:rsidRPr="009016D5">
        <w:t>использ</w:t>
      </w:r>
      <w:r w:rsidRPr="009016D5">
        <w:t>ование системы</w:t>
      </w:r>
      <w:r w:rsidR="00E346B2" w:rsidRPr="009016D5">
        <w:t xml:space="preserve"> извещения участников судопроизводства посредством </w:t>
      </w:r>
      <w:r w:rsidR="00470607" w:rsidRPr="009016D5">
        <w:t>СМС-сообщений</w:t>
      </w:r>
      <w:r w:rsidR="00E346B2" w:rsidRPr="009016D5">
        <w:t xml:space="preserve"> позволило сэкономить в 2016 году около 3</w:t>
      </w:r>
      <w:r w:rsidR="00C33C47" w:rsidRPr="009016D5">
        <w:t> </w:t>
      </w:r>
      <w:r w:rsidR="00E346B2" w:rsidRPr="009016D5">
        <w:t>982</w:t>
      </w:r>
      <w:r w:rsidR="00C33C47" w:rsidRPr="009016D5">
        <w:t>,0</w:t>
      </w:r>
      <w:r w:rsidR="00470607" w:rsidRPr="009016D5">
        <w:t xml:space="preserve"> тыс. руб</w:t>
      </w:r>
      <w:r w:rsidR="00C6629F">
        <w:t>.</w:t>
      </w:r>
      <w:r w:rsidR="00470607" w:rsidRPr="009016D5">
        <w:t xml:space="preserve"> на услугах связи</w:t>
      </w:r>
      <w:r w:rsidR="00D9452A" w:rsidRPr="009016D5">
        <w:t>.</w:t>
      </w:r>
    </w:p>
    <w:p w:rsidR="00BD7033" w:rsidRPr="009016D5" w:rsidRDefault="009016D5" w:rsidP="007912AA">
      <w:pPr>
        <w:tabs>
          <w:tab w:val="left" w:pos="0"/>
        </w:tabs>
        <w:ind w:firstLine="708"/>
        <w:jc w:val="both"/>
      </w:pPr>
      <w:proofErr w:type="gramStart"/>
      <w:r>
        <w:t>С октября 2015 года</w:t>
      </w:r>
      <w:r w:rsidR="00BD7033" w:rsidRPr="009016D5">
        <w:t xml:space="preserve"> Комитет определен уполномоченным органом на осуществление взаимодействия с федеральными судами общей юрисдикции и исполнительно-распорядительными органами муниципальных районов и городских округов Волгоградской области по вопросам представления и расходования субвенций, поступающих из федерального </w:t>
      </w:r>
      <w:r w:rsidR="00BD7033" w:rsidRPr="009016D5">
        <w:lastRenderedPageBreak/>
        <w:t xml:space="preserve">бюджета и передаваемых местным бюджетам, на составление (изменение) списков кандидатов в присяжные заседатели федеральных судов общей юрисдикции в Российской Федерации. </w:t>
      </w:r>
      <w:proofErr w:type="gramEnd"/>
    </w:p>
    <w:p w:rsidR="009016D5" w:rsidRPr="007912AA" w:rsidRDefault="009016D5" w:rsidP="007912AA">
      <w:pPr>
        <w:ind w:firstLine="708"/>
        <w:jc w:val="both"/>
      </w:pPr>
      <w:r w:rsidRPr="007912AA">
        <w:t>В 2015 году субвенция в сумме 348,9 тыс. рублей поступила 10.12.2015, использована не была и в полном объеме возвращена в федеральный бюджет в январе 2016 года.</w:t>
      </w:r>
    </w:p>
    <w:p w:rsidR="00A26DEE" w:rsidRPr="009016D5" w:rsidRDefault="00470607" w:rsidP="007912AA">
      <w:pPr>
        <w:tabs>
          <w:tab w:val="left" w:pos="0"/>
        </w:tabs>
        <w:ind w:firstLine="708"/>
        <w:jc w:val="both"/>
      </w:pPr>
      <w:r w:rsidRPr="009016D5">
        <w:t>Расходы по предоставлению межбюджетных трансфертов на составление (изменение) списков кандидатов в присяжные заседатели федеральных судов общей юрисдикции в 2016 году составили 4565,1 тыс. руб</w:t>
      </w:r>
      <w:r w:rsidR="00C6629F">
        <w:t>.</w:t>
      </w:r>
      <w:r w:rsidRPr="009016D5">
        <w:t>, или 100% субвенции, полученной из федерального бюджета.</w:t>
      </w:r>
    </w:p>
    <w:p w:rsidR="00470607" w:rsidRPr="00814743" w:rsidRDefault="00470607" w:rsidP="00A26DEE">
      <w:pPr>
        <w:tabs>
          <w:tab w:val="left" w:pos="0"/>
        </w:tabs>
        <w:ind w:firstLine="709"/>
        <w:jc w:val="both"/>
        <w:rPr>
          <w:color w:val="0070C0"/>
        </w:rPr>
      </w:pPr>
    </w:p>
    <w:p w:rsidR="00423EA0" w:rsidRPr="007912AA" w:rsidRDefault="003428A2" w:rsidP="00423EA0">
      <w:pPr>
        <w:jc w:val="center"/>
        <w:rPr>
          <w:b/>
          <w:i/>
        </w:rPr>
      </w:pPr>
      <w:r w:rsidRPr="007912AA">
        <w:rPr>
          <w:b/>
          <w:i/>
        </w:rPr>
        <w:t>Состояние</w:t>
      </w:r>
      <w:r w:rsidR="001123A9" w:rsidRPr="007912AA">
        <w:rPr>
          <w:b/>
          <w:i/>
        </w:rPr>
        <w:t xml:space="preserve"> дебиторской и кредиторской задолженностей</w:t>
      </w:r>
    </w:p>
    <w:p w:rsidR="001123A9" w:rsidRPr="007912AA" w:rsidRDefault="001123A9" w:rsidP="001123A9">
      <w:pPr>
        <w:ind w:firstLine="709"/>
        <w:jc w:val="both"/>
      </w:pPr>
      <w:r w:rsidRPr="007912AA">
        <w:t xml:space="preserve">Информация о динамике дебиторской и кредиторской задолженностей по состоянию на начало года и </w:t>
      </w:r>
      <w:proofErr w:type="gramStart"/>
      <w:r w:rsidRPr="007912AA">
        <w:t>на конец</w:t>
      </w:r>
      <w:proofErr w:type="gramEnd"/>
      <w:r w:rsidRPr="007912AA">
        <w:t xml:space="preserve"> 201</w:t>
      </w:r>
      <w:r w:rsidR="005171A1" w:rsidRPr="007912AA">
        <w:t>6</w:t>
      </w:r>
      <w:r w:rsidRPr="007912AA">
        <w:t xml:space="preserve"> года представлена в таблице.</w:t>
      </w:r>
    </w:p>
    <w:p w:rsidR="00243DE7" w:rsidRPr="007912AA" w:rsidRDefault="001123A9" w:rsidP="001123A9">
      <w:pPr>
        <w:ind w:right="278"/>
        <w:jc w:val="right"/>
        <w:rPr>
          <w:i/>
          <w:sz w:val="20"/>
          <w:szCs w:val="20"/>
        </w:rPr>
      </w:pPr>
      <w:r w:rsidRPr="007912AA">
        <w:rPr>
          <w:i/>
          <w:sz w:val="20"/>
          <w:szCs w:val="20"/>
        </w:rPr>
        <w:t>тыс. руб</w:t>
      </w:r>
      <w:r w:rsidR="00B83845" w:rsidRPr="007912AA">
        <w:rPr>
          <w:i/>
          <w:sz w:val="20"/>
          <w:szCs w:val="20"/>
        </w:rPr>
        <w:t>лей</w:t>
      </w:r>
      <w:r w:rsidRPr="007912AA">
        <w:rPr>
          <w:i/>
          <w:sz w:val="20"/>
          <w:szCs w:val="20"/>
        </w:rPr>
        <w:t>.</w:t>
      </w:r>
    </w:p>
    <w:tbl>
      <w:tblPr>
        <w:tblW w:w="8760" w:type="dxa"/>
        <w:tblInd w:w="817" w:type="dxa"/>
        <w:tblLook w:val="04A0"/>
      </w:tblPr>
      <w:tblGrid>
        <w:gridCol w:w="4880"/>
        <w:gridCol w:w="960"/>
        <w:gridCol w:w="960"/>
        <w:gridCol w:w="960"/>
        <w:gridCol w:w="1000"/>
      </w:tblGrid>
      <w:tr w:rsidR="00243DE7" w:rsidRPr="007912AA" w:rsidTr="00243DE7">
        <w:trPr>
          <w:trHeight w:val="330"/>
        </w:trPr>
        <w:tc>
          <w:tcPr>
            <w:tcW w:w="48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7912A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8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7912AA">
              <w:rPr>
                <w:b/>
                <w:bCs/>
                <w:sz w:val="18"/>
                <w:szCs w:val="18"/>
              </w:rPr>
              <w:t>Бюджетная деятельность</w:t>
            </w:r>
          </w:p>
        </w:tc>
      </w:tr>
      <w:tr w:rsidR="00243DE7" w:rsidRPr="007912AA" w:rsidTr="00243DE7">
        <w:trPr>
          <w:trHeight w:val="315"/>
        </w:trPr>
        <w:tc>
          <w:tcPr>
            <w:tcW w:w="48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3DE7" w:rsidRPr="007912AA" w:rsidRDefault="00243DE7" w:rsidP="00243D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B83845" w:rsidP="00243DE7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AA">
              <w:rPr>
                <w:b/>
                <w:bCs/>
                <w:sz w:val="16"/>
                <w:szCs w:val="16"/>
              </w:rPr>
              <w:t>на 01.01.2016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B83845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AA">
              <w:rPr>
                <w:b/>
                <w:bCs/>
                <w:sz w:val="16"/>
                <w:szCs w:val="16"/>
              </w:rPr>
              <w:t>на 01.01.201</w:t>
            </w:r>
            <w:r w:rsidR="00B83845" w:rsidRPr="007912A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7912AA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43DE7" w:rsidRPr="007912AA" w:rsidRDefault="00243DE7" w:rsidP="00243D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43DE7" w:rsidRPr="007912AA" w:rsidRDefault="00243DE7" w:rsidP="00243D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43DE7" w:rsidRPr="007912AA" w:rsidRDefault="00243DE7" w:rsidP="00243D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AA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center"/>
              <w:rPr>
                <w:b/>
                <w:bCs/>
                <w:sz w:val="18"/>
                <w:szCs w:val="18"/>
              </w:rPr>
            </w:pPr>
            <w:r w:rsidRPr="007912AA">
              <w:rPr>
                <w:b/>
                <w:bCs/>
                <w:sz w:val="18"/>
                <w:szCs w:val="18"/>
              </w:rPr>
              <w:t>%%</w:t>
            </w:r>
          </w:p>
        </w:tc>
      </w:tr>
      <w:tr w:rsidR="00243DE7" w:rsidRPr="007912AA" w:rsidTr="00267A72">
        <w:trPr>
          <w:trHeight w:val="33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2AA">
              <w:rPr>
                <w:b/>
                <w:bCs/>
                <w:i/>
                <w:iCs/>
                <w:sz w:val="20"/>
                <w:szCs w:val="20"/>
              </w:rPr>
              <w:t>Дебит. задолженность ИТОГО</w:t>
            </w:r>
            <w:proofErr w:type="gramStart"/>
            <w:r w:rsidRPr="007912A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7912AA">
              <w:rPr>
                <w:sz w:val="18"/>
                <w:szCs w:val="18"/>
              </w:rPr>
              <w:t>в</w:t>
            </w:r>
            <w:proofErr w:type="gramEnd"/>
            <w:r w:rsidRPr="007912AA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2 192,6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3 653,9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1 461,3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66,6%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58,7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1 142,3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1 083,6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в 195 раз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1 550,5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1 670,1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119,6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7,7%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64,3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333,2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268,9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в 5 раз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519,1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508,3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-10,8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-2,1%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2AA">
              <w:rPr>
                <w:b/>
                <w:bCs/>
                <w:i/>
                <w:iCs/>
                <w:sz w:val="20"/>
                <w:szCs w:val="20"/>
              </w:rPr>
              <w:t>Кредит</w:t>
            </w:r>
            <w:proofErr w:type="gramStart"/>
            <w:r w:rsidRPr="007912AA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7912A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912AA">
              <w:rPr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7912AA">
              <w:rPr>
                <w:b/>
                <w:bCs/>
                <w:i/>
                <w:iCs/>
                <w:sz w:val="20"/>
                <w:szCs w:val="20"/>
              </w:rPr>
              <w:t xml:space="preserve">адолженность ИТОГО: </w:t>
            </w:r>
            <w:r w:rsidRPr="007912AA">
              <w:rPr>
                <w:sz w:val="20"/>
                <w:szCs w:val="20"/>
              </w:rPr>
              <w:t>в</w:t>
            </w:r>
            <w:r w:rsidRPr="007912AA">
              <w:rPr>
                <w:sz w:val="18"/>
                <w:szCs w:val="18"/>
              </w:rPr>
              <w:t>том числе: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8 047,6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6 916,5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-1 131,1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912AA">
              <w:rPr>
                <w:b/>
                <w:bCs/>
                <w:i/>
                <w:iCs/>
                <w:sz w:val="18"/>
                <w:szCs w:val="18"/>
              </w:rPr>
              <w:t>-14,1%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1 508,2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6 430,0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4 921,8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в 4 раза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6 184,4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426,5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-5 757,9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-93,1%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6,1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54,0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47,9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в 9 раз</w:t>
            </w:r>
          </w:p>
        </w:tc>
      </w:tr>
      <w:tr w:rsidR="00243DE7" w:rsidRPr="007912AA" w:rsidTr="00267A72">
        <w:trPr>
          <w:trHeight w:val="315"/>
        </w:trPr>
        <w:tc>
          <w:tcPr>
            <w:tcW w:w="48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348,9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-342,9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243DE7" w:rsidRPr="007912AA" w:rsidRDefault="00243DE7" w:rsidP="00243DE7">
            <w:pPr>
              <w:jc w:val="right"/>
              <w:rPr>
                <w:sz w:val="18"/>
                <w:szCs w:val="18"/>
              </w:rPr>
            </w:pPr>
            <w:r w:rsidRPr="007912AA">
              <w:rPr>
                <w:sz w:val="18"/>
                <w:szCs w:val="18"/>
              </w:rPr>
              <w:t>-98,3%</w:t>
            </w:r>
          </w:p>
        </w:tc>
      </w:tr>
    </w:tbl>
    <w:p w:rsidR="00243DE7" w:rsidRPr="007912AA" w:rsidRDefault="00243DE7" w:rsidP="00243DE7">
      <w:pPr>
        <w:ind w:left="709" w:firstLine="720"/>
        <w:jc w:val="both"/>
        <w:rPr>
          <w:i/>
          <w:u w:val="single"/>
        </w:rPr>
      </w:pPr>
    </w:p>
    <w:p w:rsidR="001123A9" w:rsidRPr="007912AA" w:rsidRDefault="001123A9" w:rsidP="001123A9">
      <w:pPr>
        <w:ind w:firstLine="720"/>
        <w:jc w:val="both"/>
        <w:rPr>
          <w:i/>
          <w:u w:val="single"/>
        </w:rPr>
      </w:pPr>
      <w:r w:rsidRPr="007912AA">
        <w:rPr>
          <w:i/>
          <w:u w:val="single"/>
        </w:rPr>
        <w:t>Состояние дебиторской задолженности:</w:t>
      </w:r>
    </w:p>
    <w:p w:rsidR="00C36C52" w:rsidRPr="007912AA" w:rsidRDefault="00C36C52" w:rsidP="007C25A3">
      <w:pPr>
        <w:tabs>
          <w:tab w:val="left" w:pos="0"/>
        </w:tabs>
        <w:ind w:firstLine="709"/>
        <w:jc w:val="both"/>
      </w:pPr>
      <w:r w:rsidRPr="007912AA">
        <w:t xml:space="preserve">Дебиторская задолженность </w:t>
      </w:r>
      <w:r w:rsidR="008D0792">
        <w:t xml:space="preserve">за 2016 год увеличилась на 1 461,3 тыс. руб., или </w:t>
      </w:r>
      <w:r w:rsidR="00355961">
        <w:t xml:space="preserve">на </w:t>
      </w:r>
      <w:r w:rsidR="008D0792">
        <w:t xml:space="preserve">66,6% и </w:t>
      </w:r>
      <w:r w:rsidRPr="007912AA">
        <w:t>по состоянию на 01.01.2017 составила 3653,9 тыс. руб</w:t>
      </w:r>
      <w:r w:rsidR="00C6629F">
        <w:t>.</w:t>
      </w:r>
      <w:r w:rsidRPr="007912AA">
        <w:t xml:space="preserve">, в </w:t>
      </w:r>
      <w:r w:rsidR="00C6629F">
        <w:t>основном сложившаяся</w:t>
      </w:r>
      <w:r w:rsidRPr="007912AA">
        <w:t>:</w:t>
      </w:r>
    </w:p>
    <w:p w:rsidR="00C36C52" w:rsidRPr="007912AA" w:rsidRDefault="008E3EA0" w:rsidP="007C25A3">
      <w:pPr>
        <w:tabs>
          <w:tab w:val="left" w:pos="0"/>
        </w:tabs>
        <w:ind w:firstLine="709"/>
        <w:jc w:val="both"/>
      </w:pPr>
      <w:r w:rsidRPr="007912AA">
        <w:t>– 1 142,3 тыс. руб</w:t>
      </w:r>
      <w:r w:rsidR="007912AA" w:rsidRPr="007912AA">
        <w:t>.</w:t>
      </w:r>
      <w:r w:rsidRPr="007912AA">
        <w:t xml:space="preserve"> - </w:t>
      </w:r>
      <w:r w:rsidR="00C36C52" w:rsidRPr="007912AA">
        <w:t>ав</w:t>
      </w:r>
      <w:r w:rsidRPr="007912AA">
        <w:t>ансы по оплате труда, субвенции</w:t>
      </w:r>
      <w:r w:rsidR="007912AA">
        <w:t xml:space="preserve"> на составление списков присяжных заседателей</w:t>
      </w:r>
      <w:r w:rsidR="00C36C52" w:rsidRPr="007912AA">
        <w:t>;</w:t>
      </w:r>
    </w:p>
    <w:p w:rsidR="00C36C52" w:rsidRPr="007912AA" w:rsidRDefault="008E3EA0" w:rsidP="007C25A3">
      <w:pPr>
        <w:tabs>
          <w:tab w:val="left" w:pos="0"/>
        </w:tabs>
        <w:ind w:firstLine="709"/>
        <w:jc w:val="both"/>
      </w:pPr>
      <w:r w:rsidRPr="007912AA">
        <w:t>–1 670,1 тыс. руб</w:t>
      </w:r>
      <w:r w:rsidR="007912AA" w:rsidRPr="007912AA">
        <w:t xml:space="preserve">. </w:t>
      </w:r>
      <w:r w:rsidRPr="007912AA">
        <w:t xml:space="preserve">- </w:t>
      </w:r>
      <w:r w:rsidR="00C36C52" w:rsidRPr="007912AA">
        <w:t xml:space="preserve">выданы под отчет государственные знаки почтовой оплаты секретарям судебных участков; </w:t>
      </w:r>
    </w:p>
    <w:p w:rsidR="001123A9" w:rsidRPr="007912AA" w:rsidRDefault="001123A9" w:rsidP="001123A9">
      <w:pPr>
        <w:ind w:firstLine="720"/>
        <w:jc w:val="both"/>
      </w:pPr>
      <w:r w:rsidRPr="007912AA">
        <w:t>Нереальная к взысканию дебиторская задолженность на 01.01.201</w:t>
      </w:r>
      <w:r w:rsidR="00BA0690" w:rsidRPr="007912AA">
        <w:t>7</w:t>
      </w:r>
      <w:r w:rsidRPr="007912AA">
        <w:t xml:space="preserve"> отсутствует.</w:t>
      </w:r>
    </w:p>
    <w:p w:rsidR="001123A9" w:rsidRPr="009428F8" w:rsidRDefault="001123A9" w:rsidP="001123A9"/>
    <w:p w:rsidR="001123A9" w:rsidRPr="009428F8" w:rsidRDefault="001123A9" w:rsidP="001123A9">
      <w:pPr>
        <w:ind w:firstLine="720"/>
        <w:jc w:val="both"/>
        <w:rPr>
          <w:i/>
          <w:u w:val="single"/>
        </w:rPr>
      </w:pPr>
      <w:r w:rsidRPr="009428F8">
        <w:rPr>
          <w:i/>
          <w:u w:val="single"/>
        </w:rPr>
        <w:t>Состояние кредиторской задолженности:</w:t>
      </w:r>
    </w:p>
    <w:p w:rsidR="00C36C52" w:rsidRPr="009428F8" w:rsidRDefault="00C36C52" w:rsidP="007C25A3">
      <w:pPr>
        <w:tabs>
          <w:tab w:val="left" w:pos="0"/>
        </w:tabs>
        <w:ind w:firstLine="709"/>
        <w:jc w:val="both"/>
      </w:pPr>
      <w:r w:rsidRPr="009428F8">
        <w:t xml:space="preserve">Кредиторская задолженность </w:t>
      </w:r>
      <w:r w:rsidR="008D0792">
        <w:t xml:space="preserve">за 2016 год сократилась на 1 131,1 тыс. руб., или </w:t>
      </w:r>
      <w:r w:rsidR="00355961">
        <w:t xml:space="preserve">на </w:t>
      </w:r>
      <w:r w:rsidR="008D0792">
        <w:t xml:space="preserve">14,1% и </w:t>
      </w:r>
      <w:r w:rsidRPr="009428F8">
        <w:t xml:space="preserve">по состоянию на 01.01.2017 составила 6 916,5 тыс. рублей: </w:t>
      </w:r>
    </w:p>
    <w:p w:rsidR="00C36C52" w:rsidRPr="009428F8" w:rsidRDefault="007C25A3" w:rsidP="007C25A3">
      <w:pPr>
        <w:tabs>
          <w:tab w:val="left" w:pos="0"/>
        </w:tabs>
        <w:ind w:firstLine="709"/>
        <w:jc w:val="both"/>
      </w:pPr>
      <w:r w:rsidRPr="009428F8">
        <w:t xml:space="preserve">- </w:t>
      </w:r>
      <w:r w:rsidR="00C36C52" w:rsidRPr="009428F8">
        <w:t>по счету 208 "Расчеты с подотчетными лицами" – 54 тыс. руб</w:t>
      </w:r>
      <w:r w:rsidR="00C6629F">
        <w:t>.</w:t>
      </w:r>
      <w:r w:rsidR="00C36C52" w:rsidRPr="009428F8">
        <w:t xml:space="preserve">; </w:t>
      </w:r>
    </w:p>
    <w:p w:rsidR="009428F8" w:rsidRPr="009428F8" w:rsidRDefault="007C25A3" w:rsidP="007C25A3">
      <w:pPr>
        <w:tabs>
          <w:tab w:val="left" w:pos="0"/>
        </w:tabs>
        <w:ind w:firstLine="709"/>
        <w:jc w:val="both"/>
      </w:pPr>
      <w:r w:rsidRPr="009428F8">
        <w:t xml:space="preserve">- </w:t>
      </w:r>
      <w:r w:rsidR="00C36C52" w:rsidRPr="009428F8">
        <w:t>по счету 302 "Расчеты по принятым</w:t>
      </w:r>
      <w:r w:rsidR="007912AA" w:rsidRPr="009428F8">
        <w:t xml:space="preserve"> обязательствам" – 6430 тыс. руб., в основном</w:t>
      </w:r>
      <w:r w:rsidR="00C6629F">
        <w:t xml:space="preserve"> по коммунальным</w:t>
      </w:r>
      <w:r w:rsidR="009428F8" w:rsidRPr="009428F8">
        <w:t xml:space="preserve"> услуг</w:t>
      </w:r>
      <w:r w:rsidR="00C6629F">
        <w:t>ам</w:t>
      </w:r>
      <w:r w:rsidR="009428F8" w:rsidRPr="009428F8">
        <w:t>, арендно</w:t>
      </w:r>
      <w:r w:rsidR="007912AA" w:rsidRPr="009428F8">
        <w:t>й плат</w:t>
      </w:r>
      <w:r w:rsidR="00C6629F">
        <w:t>е</w:t>
      </w:r>
      <w:r w:rsidR="007912AA" w:rsidRPr="009428F8">
        <w:t xml:space="preserve"> и приобретению </w:t>
      </w:r>
      <w:r w:rsidR="009428F8" w:rsidRPr="009428F8">
        <w:t>нефинансовых активов.</w:t>
      </w:r>
    </w:p>
    <w:p w:rsidR="00C36C52" w:rsidRPr="009428F8" w:rsidRDefault="00C36C52" w:rsidP="007C25A3">
      <w:pPr>
        <w:autoSpaceDE w:val="0"/>
        <w:autoSpaceDN w:val="0"/>
        <w:adjustRightInd w:val="0"/>
        <w:ind w:firstLine="709"/>
        <w:jc w:val="both"/>
      </w:pPr>
      <w:r w:rsidRPr="009428F8">
        <w:t xml:space="preserve">Согласно </w:t>
      </w:r>
      <w:r w:rsidR="007024F3" w:rsidRPr="009428F8">
        <w:t>данным отчетности Комитета просроченная задолженность отсутствует.</w:t>
      </w:r>
    </w:p>
    <w:p w:rsidR="00C36C52" w:rsidRPr="009428F8" w:rsidRDefault="00C36C52" w:rsidP="00C36C52">
      <w:pPr>
        <w:autoSpaceDE w:val="0"/>
        <w:autoSpaceDN w:val="0"/>
        <w:adjustRightInd w:val="0"/>
        <w:jc w:val="center"/>
        <w:rPr>
          <w:b/>
          <w:i/>
        </w:rPr>
      </w:pPr>
    </w:p>
    <w:p w:rsidR="00423EA0" w:rsidRPr="009428F8" w:rsidRDefault="007C4A68" w:rsidP="00423EA0">
      <w:pPr>
        <w:autoSpaceDE w:val="0"/>
        <w:autoSpaceDN w:val="0"/>
        <w:adjustRightInd w:val="0"/>
        <w:jc w:val="center"/>
        <w:rPr>
          <w:b/>
        </w:rPr>
      </w:pPr>
      <w:r w:rsidRPr="009428F8">
        <w:rPr>
          <w:b/>
        </w:rPr>
        <w:t>Анализ достижения поставленных целей и ожидаемых результатов</w:t>
      </w:r>
    </w:p>
    <w:p w:rsidR="00596A9F" w:rsidRDefault="00596A9F" w:rsidP="004A7D1B">
      <w:pPr>
        <w:autoSpaceDE w:val="0"/>
        <w:autoSpaceDN w:val="0"/>
        <w:adjustRightInd w:val="0"/>
        <w:ind w:firstLine="720"/>
        <w:jc w:val="both"/>
      </w:pPr>
    </w:p>
    <w:p w:rsidR="00842F64" w:rsidRPr="009428F8" w:rsidRDefault="00842F64" w:rsidP="004A7D1B">
      <w:pPr>
        <w:autoSpaceDE w:val="0"/>
        <w:autoSpaceDN w:val="0"/>
        <w:adjustRightInd w:val="0"/>
        <w:ind w:firstLine="720"/>
        <w:jc w:val="both"/>
      </w:pPr>
      <w:r w:rsidRPr="009428F8">
        <w:t xml:space="preserve">В 2016 году Комитетом государственное задание Учреждению не доводилось. В </w:t>
      </w:r>
      <w:r w:rsidR="00423EA0" w:rsidRPr="009428F8">
        <w:t>«</w:t>
      </w:r>
      <w:r w:rsidR="00930560" w:rsidRPr="009428F8">
        <w:t>Сведениях о результатах деятельности» (ф.0503162)</w:t>
      </w:r>
      <w:r w:rsidRPr="009428F8">
        <w:t xml:space="preserve"> представлены отдельные показатели деятельности Учреждения, </w:t>
      </w:r>
      <w:r w:rsidR="00C6629F" w:rsidRPr="009428F8">
        <w:t xml:space="preserve">определенные </w:t>
      </w:r>
      <w:r w:rsidRPr="009428F8">
        <w:t>приказом Комитета от 15.06.2016 № 20-06-03/130 в качестве</w:t>
      </w:r>
      <w:r w:rsidR="004A7D1B" w:rsidRPr="009428F8">
        <w:t xml:space="preserve"> </w:t>
      </w:r>
      <w:proofErr w:type="gramStart"/>
      <w:r w:rsidR="004A7D1B" w:rsidRPr="009428F8">
        <w:t>к</w:t>
      </w:r>
      <w:r w:rsidRPr="009428F8">
        <w:t>ритери</w:t>
      </w:r>
      <w:r w:rsidR="004A7D1B" w:rsidRPr="009428F8">
        <w:t>ев</w:t>
      </w:r>
      <w:r w:rsidRPr="009428F8">
        <w:t xml:space="preserve"> оценки целевых показателей эффективности работы</w:t>
      </w:r>
      <w:r w:rsidR="004A7D1B" w:rsidRPr="009428F8">
        <w:t xml:space="preserve"> Учреждения</w:t>
      </w:r>
      <w:proofErr w:type="gramEnd"/>
      <w:r w:rsidR="004A7D1B" w:rsidRPr="009428F8">
        <w:t>.</w:t>
      </w:r>
    </w:p>
    <w:p w:rsidR="00596A9F" w:rsidRDefault="00596A9F" w:rsidP="007C4A68">
      <w:pPr>
        <w:autoSpaceDE w:val="0"/>
        <w:autoSpaceDN w:val="0"/>
        <w:adjustRightInd w:val="0"/>
        <w:ind w:firstLine="720"/>
        <w:jc w:val="both"/>
      </w:pPr>
    </w:p>
    <w:p w:rsidR="007C4A68" w:rsidRDefault="007C4A68" w:rsidP="007C4A68">
      <w:pPr>
        <w:autoSpaceDE w:val="0"/>
        <w:autoSpaceDN w:val="0"/>
        <w:adjustRightInd w:val="0"/>
        <w:ind w:firstLine="720"/>
        <w:jc w:val="both"/>
      </w:pPr>
      <w:r w:rsidRPr="009428F8">
        <w:t>Сведения о достигнутых показателях приведены в следующей таблице.</w:t>
      </w:r>
    </w:p>
    <w:p w:rsidR="00596A9F" w:rsidRDefault="00596A9F" w:rsidP="007C4A68">
      <w:pPr>
        <w:autoSpaceDE w:val="0"/>
        <w:autoSpaceDN w:val="0"/>
        <w:adjustRightInd w:val="0"/>
        <w:ind w:firstLine="720"/>
        <w:jc w:val="both"/>
      </w:pPr>
    </w:p>
    <w:p w:rsidR="00596A9F" w:rsidRPr="009428F8" w:rsidRDefault="00596A9F" w:rsidP="007C4A68">
      <w:pPr>
        <w:autoSpaceDE w:val="0"/>
        <w:autoSpaceDN w:val="0"/>
        <w:adjustRightInd w:val="0"/>
        <w:ind w:firstLine="720"/>
        <w:jc w:val="both"/>
      </w:pPr>
    </w:p>
    <w:tbl>
      <w:tblPr>
        <w:tblW w:w="9618" w:type="dxa"/>
        <w:tblInd w:w="534" w:type="dxa"/>
        <w:tblLook w:val="04A0"/>
      </w:tblPr>
      <w:tblGrid>
        <w:gridCol w:w="5505"/>
        <w:gridCol w:w="1113"/>
        <w:gridCol w:w="1500"/>
        <w:gridCol w:w="1500"/>
      </w:tblGrid>
      <w:tr w:rsidR="007C4A68" w:rsidRPr="009428F8" w:rsidTr="009F0E81">
        <w:trPr>
          <w:trHeight w:val="255"/>
        </w:trPr>
        <w:tc>
          <w:tcPr>
            <w:tcW w:w="5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A68" w:rsidRPr="009428F8" w:rsidRDefault="007C4A68" w:rsidP="00270B8E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C4A68" w:rsidRPr="009428F8" w:rsidRDefault="007C4A68" w:rsidP="00270B8E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A68" w:rsidRPr="009428F8" w:rsidRDefault="007C4A68" w:rsidP="00270B8E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По плану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4A68" w:rsidRPr="009428F8" w:rsidRDefault="007C4A68" w:rsidP="00270B8E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Фактически</w:t>
            </w:r>
          </w:p>
        </w:tc>
      </w:tr>
      <w:tr w:rsidR="007C4A68" w:rsidRPr="009428F8" w:rsidTr="00267A72">
        <w:trPr>
          <w:trHeight w:val="255"/>
        </w:trPr>
        <w:tc>
          <w:tcPr>
            <w:tcW w:w="550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C4A68" w:rsidRPr="009428F8" w:rsidRDefault="007C4A68" w:rsidP="00270B8E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C4A68" w:rsidRPr="009428F8" w:rsidRDefault="007C4A68" w:rsidP="00270B8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C4A68" w:rsidRPr="009428F8" w:rsidRDefault="007C4A68" w:rsidP="00270B8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4A68" w:rsidRPr="009428F8" w:rsidRDefault="007C4A68" w:rsidP="00270B8E">
            <w:pPr>
              <w:rPr>
                <w:sz w:val="20"/>
                <w:szCs w:val="20"/>
              </w:rPr>
            </w:pPr>
          </w:p>
        </w:tc>
      </w:tr>
      <w:tr w:rsidR="00823DD3" w:rsidRPr="009428F8" w:rsidTr="00267A72">
        <w:trPr>
          <w:trHeight w:val="1122"/>
        </w:trPr>
        <w:tc>
          <w:tcPr>
            <w:tcW w:w="55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DD3" w:rsidRPr="009428F8" w:rsidRDefault="00823DD3" w:rsidP="00823DD3">
            <w:pPr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Доля государственных услуг по представлению бесплатной юридической помощи, на которую отсутствуют обоснованные жалобы от общего количества государственных услуг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DC02E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95</w:t>
            </w:r>
            <w:r w:rsidR="00823DD3" w:rsidRPr="009428F8">
              <w:rPr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100,0</w:t>
            </w:r>
          </w:p>
        </w:tc>
      </w:tr>
      <w:tr w:rsidR="00823DD3" w:rsidRPr="009428F8" w:rsidTr="00267A72">
        <w:trPr>
          <w:trHeight w:val="255"/>
        </w:trPr>
        <w:tc>
          <w:tcPr>
            <w:tcW w:w="55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DD3" w:rsidRPr="009428F8" w:rsidRDefault="00DC02E3" w:rsidP="00823DD3">
            <w:pPr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Укомплектованность учреждения специалистами, оказывающими бесплатную юридическую помощь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100,0</w:t>
            </w:r>
          </w:p>
        </w:tc>
      </w:tr>
      <w:tr w:rsidR="00823DD3" w:rsidRPr="009428F8" w:rsidTr="00267A72">
        <w:trPr>
          <w:trHeight w:val="510"/>
        </w:trPr>
        <w:tc>
          <w:tcPr>
            <w:tcW w:w="55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823DD3">
            <w:pPr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Оказание бесплатной юридической помощи (государственное задание)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ед.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823DD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8 000,0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23DD3" w:rsidRPr="009428F8" w:rsidRDefault="00823DD3" w:rsidP="00DC02E3">
            <w:pPr>
              <w:jc w:val="center"/>
              <w:rPr>
                <w:sz w:val="20"/>
                <w:szCs w:val="20"/>
              </w:rPr>
            </w:pPr>
            <w:r w:rsidRPr="009428F8">
              <w:rPr>
                <w:sz w:val="20"/>
                <w:szCs w:val="20"/>
              </w:rPr>
              <w:t>8 </w:t>
            </w:r>
            <w:r w:rsidR="00DC02E3" w:rsidRPr="009428F8">
              <w:rPr>
                <w:sz w:val="20"/>
                <w:szCs w:val="20"/>
              </w:rPr>
              <w:t>734</w:t>
            </w:r>
            <w:r w:rsidRPr="009428F8">
              <w:rPr>
                <w:sz w:val="20"/>
                <w:szCs w:val="20"/>
              </w:rPr>
              <w:t>,0</w:t>
            </w:r>
          </w:p>
        </w:tc>
      </w:tr>
    </w:tbl>
    <w:p w:rsidR="00823DD3" w:rsidRPr="009428F8" w:rsidRDefault="00823DD3" w:rsidP="007C4A68">
      <w:pPr>
        <w:ind w:firstLine="720"/>
        <w:jc w:val="both"/>
      </w:pPr>
      <w:r w:rsidRPr="009428F8">
        <w:t xml:space="preserve">Как видно из </w:t>
      </w:r>
      <w:r w:rsidR="00423EA0" w:rsidRPr="009428F8">
        <w:t>представленных данных</w:t>
      </w:r>
      <w:r w:rsidR="00C6629F">
        <w:t>,</w:t>
      </w:r>
      <w:r w:rsidR="000D1C3C" w:rsidRPr="009428F8">
        <w:t xml:space="preserve"> исполнение </w:t>
      </w:r>
      <w:r w:rsidR="00DC02E3" w:rsidRPr="009428F8">
        <w:t xml:space="preserve">заданных параметров деятельности учреждением </w:t>
      </w:r>
      <w:r w:rsidR="007F47B1" w:rsidRPr="009428F8">
        <w:t>составило 100</w:t>
      </w:r>
      <w:r w:rsidR="009428F8" w:rsidRPr="009428F8">
        <w:t xml:space="preserve"> </w:t>
      </w:r>
      <w:r w:rsidR="00DC02E3" w:rsidRPr="009428F8">
        <w:t xml:space="preserve">и более </w:t>
      </w:r>
      <w:r w:rsidR="00293A55" w:rsidRPr="009428F8">
        <w:t>процентов</w:t>
      </w:r>
      <w:r w:rsidR="007F47B1" w:rsidRPr="009428F8">
        <w:t>.</w:t>
      </w:r>
    </w:p>
    <w:p w:rsidR="003F0B53" w:rsidRPr="00814743" w:rsidRDefault="003F0B53" w:rsidP="006F082C">
      <w:pPr>
        <w:jc w:val="center"/>
        <w:rPr>
          <w:color w:val="0070C0"/>
        </w:rPr>
      </w:pPr>
    </w:p>
    <w:p w:rsidR="00423EA0" w:rsidRPr="009428F8" w:rsidRDefault="0007484F" w:rsidP="00EF522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428F8">
        <w:rPr>
          <w:b/>
        </w:rPr>
        <w:t>Организация</w:t>
      </w:r>
      <w:r w:rsidR="00C6629F">
        <w:rPr>
          <w:b/>
        </w:rPr>
        <w:t xml:space="preserve"> </w:t>
      </w:r>
      <w:r w:rsidRPr="009428F8">
        <w:rPr>
          <w:b/>
        </w:rPr>
        <w:t>внутреннего финансового контроля и внутреннего финансового аудита</w:t>
      </w:r>
    </w:p>
    <w:p w:rsidR="00914415" w:rsidRPr="009428F8" w:rsidRDefault="00914415" w:rsidP="00914415">
      <w:pPr>
        <w:pStyle w:val="ab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428F8">
        <w:rPr>
          <w:rFonts w:ascii="Times New Roman" w:hAnsi="Times New Roman" w:cs="Times New Roman"/>
          <w:sz w:val="24"/>
          <w:szCs w:val="24"/>
        </w:rPr>
        <w:t>Статьей</w:t>
      </w:r>
      <w:r w:rsidR="008877B5" w:rsidRPr="009428F8">
        <w:rPr>
          <w:rFonts w:ascii="Times New Roman" w:hAnsi="Times New Roman" w:cs="Times New Roman"/>
          <w:sz w:val="24"/>
          <w:szCs w:val="24"/>
        </w:rPr>
        <w:t xml:space="preserve"> 160.2-1 БК РФ </w:t>
      </w:r>
      <w:r w:rsidRPr="009428F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9428F8">
        <w:rPr>
          <w:rFonts w:ascii="Times New Roman" w:hAnsi="Times New Roman" w:cs="Times New Roman"/>
          <w:sz w:val="24"/>
          <w:szCs w:val="24"/>
          <w:lang w:eastAsia="ru-RU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</w:p>
    <w:p w:rsidR="0007484F" w:rsidRPr="009428F8" w:rsidRDefault="0007484F" w:rsidP="00914415">
      <w:pPr>
        <w:autoSpaceDE w:val="0"/>
        <w:autoSpaceDN w:val="0"/>
        <w:adjustRightInd w:val="0"/>
        <w:ind w:firstLine="709"/>
        <w:jc w:val="both"/>
      </w:pPr>
      <w:r w:rsidRPr="009428F8"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 266-п</w:t>
      </w:r>
      <w:r w:rsidR="00914415" w:rsidRPr="009428F8">
        <w:t>,</w:t>
      </w:r>
      <w:r w:rsidRPr="009428F8">
        <w:t xml:space="preserve"> в Комитете организована работа по внедрению системы внутреннего финансового контроля и внутреннего финансового аудита.</w:t>
      </w:r>
    </w:p>
    <w:p w:rsidR="00BA0690" w:rsidRPr="009428F8" w:rsidRDefault="0007484F" w:rsidP="00BA0690">
      <w:pPr>
        <w:autoSpaceDE w:val="0"/>
        <w:autoSpaceDN w:val="0"/>
        <w:adjustRightInd w:val="0"/>
        <w:ind w:firstLine="720"/>
        <w:jc w:val="both"/>
      </w:pPr>
      <w:r w:rsidRPr="009428F8">
        <w:t>Приказом Комитета от 30 сентября 2014 г. № 02-06-03/188 «О мерах по реализации постановления Правительства Волгоградской области от 26</w:t>
      </w:r>
      <w:r w:rsidR="009C61DA" w:rsidRPr="009428F8">
        <w:t>.05.2014 г. №</w:t>
      </w:r>
      <w:r w:rsidRPr="009428F8">
        <w:t>266-п «Об утверждении Порядка осуществления внутреннего финансового контроля и внутреннего финансового аудита на террито</w:t>
      </w:r>
      <w:r w:rsidR="005171A1" w:rsidRPr="009428F8">
        <w:t>рии Волгоградской области»</w:t>
      </w:r>
      <w:r w:rsidR="00BA0690" w:rsidRPr="009428F8">
        <w:t xml:space="preserve"> утверждены локальные акты, регламентирующие проведение и объекты финансового контроля и аудита</w:t>
      </w:r>
      <w:r w:rsidR="005171A1" w:rsidRPr="009428F8">
        <w:t>.</w:t>
      </w:r>
      <w:r w:rsidR="00BA0690" w:rsidRPr="009428F8">
        <w:t xml:space="preserve"> Согласно представленным да</w:t>
      </w:r>
      <w:r w:rsidR="00C6629F">
        <w:t>нным</w:t>
      </w:r>
      <w:r w:rsidR="00BA0690" w:rsidRPr="009428F8">
        <w:t xml:space="preserve"> карты внутреннего финансового контроля в структурных подразделениях, исполняющих бюджетные полномочия по осуществлению внутреннего финансового контроля, включают 16 бюджетных процедур. 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 xml:space="preserve">Во 2 квартале 2016 г. финансово-экономическим отделом Комитета проведена плановая проверка финансово-хозяйственной деятельности подведомственного учреждения за период с 01.01.2015 по 31.12.2015. В ходе проверки </w:t>
      </w:r>
      <w:r w:rsidR="00C6629F">
        <w:t>нарушений</w:t>
      </w:r>
      <w:r w:rsidRPr="009428F8">
        <w:t xml:space="preserve"> не установлено.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>В декабре 2016 г. проведена аудиторская проверка эффективности системы внутреннего финансового контроля в отношении: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>- расходов бюджета;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>- исполнения судебных актов по обращению взыскания на средства бюджета бюджетной системы Российской Федерации;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>- полномочий главного администратора (администратора) доходов бюджета.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 xml:space="preserve">В результате аудита установлено, что финансовый контроль осуществляется на должном уровне. </w:t>
      </w:r>
    </w:p>
    <w:p w:rsidR="00BA0690" w:rsidRPr="009428F8" w:rsidRDefault="00BA0690" w:rsidP="00BA0690">
      <w:pPr>
        <w:tabs>
          <w:tab w:val="left" w:pos="0"/>
        </w:tabs>
        <w:ind w:firstLine="709"/>
        <w:jc w:val="both"/>
      </w:pPr>
      <w:r w:rsidRPr="009428F8">
        <w:t xml:space="preserve">Приказом Комитета от 19.12.2016 № 02-06-03/259 утвержден План осуществления внутреннего финансового аудита в Комитете на 2017 год. </w:t>
      </w:r>
    </w:p>
    <w:p w:rsidR="000D1C3C" w:rsidRPr="00E31509" w:rsidRDefault="000D1C3C" w:rsidP="00486EBD">
      <w:pPr>
        <w:ind w:firstLine="709"/>
        <w:jc w:val="both"/>
      </w:pPr>
    </w:p>
    <w:p w:rsidR="00D52FFE" w:rsidRPr="00E31509" w:rsidRDefault="00D52FFE" w:rsidP="00D52FFE">
      <w:pPr>
        <w:jc w:val="center"/>
        <w:rPr>
          <w:b/>
        </w:rPr>
      </w:pPr>
      <w:r w:rsidRPr="00E31509">
        <w:rPr>
          <w:b/>
        </w:rPr>
        <w:t>Оплата труда государственных гражданских служащих за 201</w:t>
      </w:r>
      <w:r w:rsidR="009F3D12" w:rsidRPr="00E31509">
        <w:rPr>
          <w:b/>
        </w:rPr>
        <w:t>6</w:t>
      </w:r>
      <w:r w:rsidRPr="00E31509">
        <w:rPr>
          <w:b/>
        </w:rPr>
        <w:t xml:space="preserve"> год</w:t>
      </w:r>
    </w:p>
    <w:p w:rsidR="00A26DEE" w:rsidRPr="00E31509" w:rsidRDefault="00A26DEE" w:rsidP="00A26DEE">
      <w:pPr>
        <w:tabs>
          <w:tab w:val="left" w:pos="0"/>
        </w:tabs>
        <w:ind w:firstLine="709"/>
        <w:jc w:val="both"/>
      </w:pPr>
      <w:r w:rsidRPr="00E31509">
        <w:t xml:space="preserve">Постановлением Губернатора от 02.05.2012 № 259 "Об утверждении структуры и штатной численности комитета по обеспечению деятельности мировых судей Волгоградской области" </w:t>
      </w:r>
      <w:r w:rsidR="009428F8" w:rsidRPr="00E31509">
        <w:t>(с последующими изменениями) утверждена</w:t>
      </w:r>
      <w:r w:rsidRPr="00E31509">
        <w:t xml:space="preserve"> структура Комитета.</w:t>
      </w:r>
    </w:p>
    <w:p w:rsidR="00D9452A" w:rsidRPr="00E31509" w:rsidRDefault="00D9452A" w:rsidP="005D1C9C">
      <w:pPr>
        <w:ind w:firstLine="709"/>
        <w:jc w:val="both"/>
      </w:pPr>
      <w:r w:rsidRPr="00E31509">
        <w:t>Штатная численность Комитета составляет 781 единиц</w:t>
      </w:r>
      <w:r w:rsidR="008D0792">
        <w:t>у</w:t>
      </w:r>
      <w:r w:rsidRPr="00E31509">
        <w:t xml:space="preserve">. </w:t>
      </w:r>
      <w:proofErr w:type="gramStart"/>
      <w:r w:rsidRPr="00E31509">
        <w:t>На конец</w:t>
      </w:r>
      <w:proofErr w:type="gramEnd"/>
      <w:r w:rsidRPr="00E31509">
        <w:t xml:space="preserve"> 2016 года фактически </w:t>
      </w:r>
      <w:r w:rsidR="008D0792">
        <w:t>замещено</w:t>
      </w:r>
      <w:r w:rsidRPr="00E31509">
        <w:t xml:space="preserve"> 738 единиц, среднесписочная численность в 2016 году составила 744 единицы.</w:t>
      </w:r>
    </w:p>
    <w:p w:rsidR="00D9452A" w:rsidRPr="002C0408" w:rsidRDefault="005D1C9C" w:rsidP="005D1C9C">
      <w:pPr>
        <w:ind w:firstLine="709"/>
        <w:jc w:val="both"/>
      </w:pPr>
      <w:r w:rsidRPr="00E31509">
        <w:t xml:space="preserve">Штатная численность ГГС по штатному расписанию составляет </w:t>
      </w:r>
      <w:r w:rsidR="00C06E81" w:rsidRPr="00E31509">
        <w:t>52</w:t>
      </w:r>
      <w:r w:rsidR="007E5691" w:rsidRPr="00E31509">
        <w:t>1</w:t>
      </w:r>
      <w:r w:rsidRPr="00E31509">
        <w:t xml:space="preserve"> штатных единиц при установленной Законом об областном бюджете на 201</w:t>
      </w:r>
      <w:r w:rsidR="007E5691" w:rsidRPr="00E31509">
        <w:t>6</w:t>
      </w:r>
      <w:r w:rsidRPr="00E31509">
        <w:t xml:space="preserve"> год предельной численности </w:t>
      </w:r>
      <w:r w:rsidR="00C06E81" w:rsidRPr="00E31509">
        <w:t>52</w:t>
      </w:r>
      <w:r w:rsidR="007E5691" w:rsidRPr="00E31509">
        <w:t>1</w:t>
      </w:r>
      <w:r w:rsidRPr="00E31509">
        <w:t>единиц</w:t>
      </w:r>
      <w:r w:rsidR="00EF522C" w:rsidRPr="00E31509">
        <w:t>а</w:t>
      </w:r>
      <w:r w:rsidRPr="00E31509">
        <w:t>.</w:t>
      </w:r>
      <w:r w:rsidR="009428F8" w:rsidRPr="00E31509">
        <w:t xml:space="preserve"> </w:t>
      </w:r>
      <w:proofErr w:type="gramStart"/>
      <w:r w:rsidR="00D9452A" w:rsidRPr="00E31509">
        <w:lastRenderedPageBreak/>
        <w:t>На конец</w:t>
      </w:r>
      <w:proofErr w:type="gramEnd"/>
      <w:r w:rsidR="00D9452A" w:rsidRPr="00E31509">
        <w:t xml:space="preserve"> </w:t>
      </w:r>
      <w:r w:rsidR="00D9452A" w:rsidRPr="002C0408">
        <w:t xml:space="preserve">2016 года фактически </w:t>
      </w:r>
      <w:r w:rsidR="008D0792" w:rsidRPr="002C0408">
        <w:t>замещено</w:t>
      </w:r>
      <w:r w:rsidR="00D9452A" w:rsidRPr="002C0408">
        <w:t xml:space="preserve"> 490 единиц, среднесписочная численность в 2016 году составила 496 единиц. </w:t>
      </w:r>
    </w:p>
    <w:p w:rsidR="00C53586" w:rsidRPr="002C0408" w:rsidRDefault="00C53586" w:rsidP="00C53586">
      <w:pPr>
        <w:ind w:firstLine="709"/>
        <w:jc w:val="both"/>
      </w:pPr>
      <w:r w:rsidRPr="002C0408">
        <w:t xml:space="preserve">В первоначальной редакции Закона о бюджете по подразделу 0105 «Судебная система» виду расходов 100 «Расходы на выплаты персоналу…» на выплату заработной платы с начислениями </w:t>
      </w:r>
      <w:r w:rsidR="002C0408" w:rsidRPr="002C0408">
        <w:t xml:space="preserve">и прочие выплаты персоналу </w:t>
      </w:r>
      <w:r w:rsidRPr="002C0408">
        <w:t>предусматривалось 295,4 млн. руб., в окончательной – 246,5 млн. руб., или на 16,6% меньше.</w:t>
      </w:r>
    </w:p>
    <w:p w:rsidR="005D1C9C" w:rsidRPr="002C0408" w:rsidRDefault="007E5691" w:rsidP="005D1C9C">
      <w:pPr>
        <w:ind w:firstLine="709"/>
        <w:jc w:val="both"/>
      </w:pPr>
      <w:r w:rsidRPr="002C0408">
        <w:t xml:space="preserve">Расчетный фонд оплаты труда (ФОТ) на 2016 год составляет </w:t>
      </w:r>
      <w:r w:rsidR="00EA52A9" w:rsidRPr="002C0408">
        <w:t>226 476,1</w:t>
      </w:r>
      <w:r w:rsidRPr="002C0408">
        <w:t xml:space="preserve"> тыс. руб</w:t>
      </w:r>
      <w:r w:rsidR="00C6629F" w:rsidRPr="002C0408">
        <w:t>.</w:t>
      </w:r>
      <w:r w:rsidR="00EF522C" w:rsidRPr="002C0408">
        <w:t>,</w:t>
      </w:r>
      <w:r w:rsidR="002C0408" w:rsidRPr="002C0408">
        <w:t xml:space="preserve"> с учетом начислений – 294 871,9 тыс. рублей. П</w:t>
      </w:r>
      <w:r w:rsidRPr="002C0408">
        <w:t xml:space="preserve">о ГГС </w:t>
      </w:r>
      <w:r w:rsidR="002C0408" w:rsidRPr="002C0408">
        <w:t xml:space="preserve">расчетный фонд составил </w:t>
      </w:r>
      <w:r w:rsidRPr="002C0408">
        <w:t>196</w:t>
      </w:r>
      <w:r w:rsidR="002C0408" w:rsidRPr="002C0408">
        <w:t xml:space="preserve"> </w:t>
      </w:r>
      <w:r w:rsidRPr="002C0408">
        <w:t xml:space="preserve">488,7 тыс. рублей. </w:t>
      </w:r>
      <w:r w:rsidR="00EA52A9" w:rsidRPr="002C0408">
        <w:t>Ф</w:t>
      </w:r>
      <w:r w:rsidR="005D1C9C" w:rsidRPr="002C0408">
        <w:t xml:space="preserve">актически </w:t>
      </w:r>
      <w:r w:rsidR="00EA52A9" w:rsidRPr="002C0408">
        <w:t>по ГГС расходы составили 151 787,0 тыс. руб</w:t>
      </w:r>
      <w:r w:rsidR="00C6629F" w:rsidRPr="002C0408">
        <w:t>.</w:t>
      </w:r>
      <w:r w:rsidR="00EA52A9" w:rsidRPr="002C0408">
        <w:t>, экономия составила 44 701,7 тыс. рублей.</w:t>
      </w:r>
      <w:r w:rsidR="005060A0" w:rsidRPr="002C0408">
        <w:t xml:space="preserve"> Значительный объем экономии фонда оплаты труда объясняется следующими факторами:</w:t>
      </w:r>
    </w:p>
    <w:p w:rsidR="005060A0" w:rsidRPr="002C0408" w:rsidRDefault="005060A0" w:rsidP="005D1C9C">
      <w:pPr>
        <w:ind w:firstLine="709"/>
        <w:jc w:val="both"/>
      </w:pPr>
      <w:r w:rsidRPr="002C0408">
        <w:t>- укомплектованность штата в течени</w:t>
      </w:r>
      <w:r w:rsidR="00EF522C" w:rsidRPr="002C0408">
        <w:t>е</w:t>
      </w:r>
      <w:r w:rsidRPr="002C0408">
        <w:t xml:space="preserve"> года на 94-95% как в целом по Комитету, так и по должностям ГГС;</w:t>
      </w:r>
    </w:p>
    <w:p w:rsidR="005060A0" w:rsidRPr="002C0408" w:rsidRDefault="005060A0" w:rsidP="005D1C9C">
      <w:pPr>
        <w:ind w:firstLine="709"/>
        <w:jc w:val="both"/>
      </w:pPr>
      <w:r w:rsidRPr="002C0408">
        <w:t>- значительная часть ГГС, обеспечивающая деятельность судебных участков, относится к старшей группе должностей и начисляемые этим должностям надбавки</w:t>
      </w:r>
      <w:r w:rsidR="009428F8" w:rsidRPr="002C0408">
        <w:t xml:space="preserve"> </w:t>
      </w:r>
      <w:r w:rsidR="00763D4F" w:rsidRPr="002C0408">
        <w:t>не позволяют достичь 5</w:t>
      </w:r>
      <w:r w:rsidR="00EF522C" w:rsidRPr="002C0408">
        <w:t>8</w:t>
      </w:r>
      <w:r w:rsidR="00763D4F" w:rsidRPr="002C0408">
        <w:t xml:space="preserve">,2 должностных окладов в год, </w:t>
      </w:r>
      <w:r w:rsidR="00A14137" w:rsidRPr="002C0408">
        <w:t>закладываемы</w:t>
      </w:r>
      <w:r w:rsidR="00763D4F" w:rsidRPr="002C0408">
        <w:t>х</w:t>
      </w:r>
      <w:r w:rsidR="00474236" w:rsidRPr="002C0408">
        <w:t xml:space="preserve"> при расчете ФОТ.</w:t>
      </w:r>
    </w:p>
    <w:p w:rsidR="00BF11FC" w:rsidRPr="002C0408" w:rsidRDefault="00EE5B0C" w:rsidP="00BF11FC">
      <w:pPr>
        <w:ind w:firstLine="709"/>
        <w:jc w:val="both"/>
      </w:pPr>
      <w:r w:rsidRPr="002C0408">
        <w:t>Следует отметить, что</w:t>
      </w:r>
      <w:r w:rsidR="001A3EAD" w:rsidRPr="002C0408">
        <w:t xml:space="preserve"> в силу недостаточности средств, </w:t>
      </w:r>
      <w:r w:rsidRPr="002C0408">
        <w:t xml:space="preserve">изначально </w:t>
      </w:r>
      <w:r w:rsidR="001A3EAD" w:rsidRPr="002C0408">
        <w:t xml:space="preserve">заложенных на обеспечение </w:t>
      </w:r>
      <w:r w:rsidR="008D0792" w:rsidRPr="002C0408">
        <w:t xml:space="preserve">деятельности </w:t>
      </w:r>
      <w:r w:rsidR="001A3EAD" w:rsidRPr="002C0408">
        <w:t>Комитета в Законе о бюджете</w:t>
      </w:r>
      <w:r w:rsidR="00BF11FC" w:rsidRPr="002C0408">
        <w:t xml:space="preserve"> (о чем КСП указывала в заключении на проект бюджета)</w:t>
      </w:r>
      <w:r w:rsidR="001A3EAD" w:rsidRPr="002C0408">
        <w:t xml:space="preserve">, экономия ФОТ с начислениями </w:t>
      </w:r>
      <w:r w:rsidR="00763D4F" w:rsidRPr="002C0408">
        <w:t xml:space="preserve">в течение года </w:t>
      </w:r>
      <w:r w:rsidR="001A3EAD" w:rsidRPr="002C0408">
        <w:t xml:space="preserve">перераспределена на другие направления расходов </w:t>
      </w:r>
      <w:r w:rsidR="00763D4F" w:rsidRPr="002C0408">
        <w:t>К</w:t>
      </w:r>
      <w:r w:rsidR="001A3EAD" w:rsidRPr="002C0408">
        <w:t xml:space="preserve">омитета. </w:t>
      </w:r>
    </w:p>
    <w:p w:rsidR="00C6629F" w:rsidRPr="00E31509" w:rsidRDefault="00BF11FC" w:rsidP="005060A0">
      <w:pPr>
        <w:ind w:firstLine="709"/>
        <w:jc w:val="both"/>
      </w:pPr>
      <w:r w:rsidRPr="002C0408">
        <w:t>При этом сокращение ассигнований на оплату труда происходит при значительной текучести кадров. Так, в 2016 году уволилось 276 человек (35,3% штатной численности), в том числе 223 единицы ГГС (42</w:t>
      </w:r>
      <w:r>
        <w:t>,8% штатной численности).</w:t>
      </w:r>
    </w:p>
    <w:p w:rsidR="007A0E4D" w:rsidRPr="00E31509" w:rsidRDefault="007A0E4D" w:rsidP="005060A0">
      <w:pPr>
        <w:ind w:firstLine="709"/>
        <w:jc w:val="both"/>
      </w:pPr>
      <w:r w:rsidRPr="00E31509">
        <w:t>В 201</w:t>
      </w:r>
      <w:r w:rsidR="00763D4F" w:rsidRPr="00E31509">
        <w:t>6</w:t>
      </w:r>
      <w:r w:rsidRPr="00E31509">
        <w:t xml:space="preserve"> году Комитетом из фонда экономии были выплачены в соответствии с </w:t>
      </w:r>
      <w:r w:rsidR="00F35FF1">
        <w:t>п</w:t>
      </w:r>
      <w:r w:rsidRPr="00E31509">
        <w:t>остановлением Главы администрации Волгоградской области от 14.12.2010 №1900 «О выплате денежных поо</w:t>
      </w:r>
      <w:r w:rsidR="00367D25" w:rsidRPr="00E31509">
        <w:t>щрений и материальной помощи государственным гражданским служащим Волгоградской области в органах исполнительной власти Волгоградской области»</w:t>
      </w:r>
      <w:r w:rsidRPr="00E31509">
        <w:t>:</w:t>
      </w:r>
    </w:p>
    <w:p w:rsidR="007A0E4D" w:rsidRPr="00E31509" w:rsidRDefault="007A0E4D" w:rsidP="005060A0">
      <w:pPr>
        <w:ind w:firstLine="709"/>
        <w:jc w:val="both"/>
      </w:pPr>
      <w:r w:rsidRPr="00E31509">
        <w:t>-премия по итогам служ</w:t>
      </w:r>
      <w:r w:rsidR="00367D25" w:rsidRPr="00E31509">
        <w:t>бы за 201</w:t>
      </w:r>
      <w:r w:rsidR="00EA52A9" w:rsidRPr="00E31509">
        <w:t>5</w:t>
      </w:r>
      <w:r w:rsidR="00367D25" w:rsidRPr="00E31509">
        <w:t xml:space="preserve"> год в сумме </w:t>
      </w:r>
      <w:r w:rsidR="00EA52A9" w:rsidRPr="00E31509">
        <w:t>8 847,1 тыс. руб</w:t>
      </w:r>
      <w:r w:rsidR="007A7438">
        <w:t xml:space="preserve">. </w:t>
      </w:r>
      <w:r w:rsidR="007E5691" w:rsidRPr="00E31509">
        <w:t xml:space="preserve">(в 2015 году – </w:t>
      </w:r>
      <w:r w:rsidR="00367D25" w:rsidRPr="00E31509">
        <w:t>6961,0 тыс. руб</w:t>
      </w:r>
      <w:r w:rsidR="00C6629F">
        <w:t>.</w:t>
      </w:r>
      <w:r w:rsidR="007E5691" w:rsidRPr="00E31509">
        <w:t>)</w:t>
      </w:r>
      <w:r w:rsidR="00367D25" w:rsidRPr="00E31509">
        <w:t>;</w:t>
      </w:r>
    </w:p>
    <w:p w:rsidR="00DB3396" w:rsidRPr="00E31509" w:rsidRDefault="00367D25" w:rsidP="005060A0">
      <w:pPr>
        <w:ind w:firstLine="709"/>
        <w:jc w:val="both"/>
        <w:rPr>
          <w:rFonts w:eastAsia="Calibri"/>
        </w:rPr>
      </w:pPr>
      <w:r w:rsidRPr="00E31509">
        <w:t>-премия</w:t>
      </w:r>
      <w:r w:rsidR="00B436A0" w:rsidRPr="00E31509">
        <w:t xml:space="preserve"> за </w:t>
      </w:r>
      <w:r w:rsidR="00B436A0" w:rsidRPr="00E31509">
        <w:rPr>
          <w:rFonts w:eastAsia="Calibri"/>
        </w:rPr>
        <w:t xml:space="preserve">безупречную и эффективную государственную гражданскую службу Волгоградской области в сумме </w:t>
      </w:r>
      <w:r w:rsidR="00EA52A9" w:rsidRPr="00E31509">
        <w:rPr>
          <w:rFonts w:eastAsia="Calibri"/>
        </w:rPr>
        <w:t>– 4 876,5 тыс. руб</w:t>
      </w:r>
      <w:r w:rsidR="009428F8" w:rsidRPr="00E31509">
        <w:rPr>
          <w:rFonts w:eastAsia="Calibri"/>
        </w:rPr>
        <w:t xml:space="preserve">. </w:t>
      </w:r>
      <w:r w:rsidR="007E5691" w:rsidRPr="00E31509">
        <w:rPr>
          <w:rFonts w:eastAsia="Calibri"/>
        </w:rPr>
        <w:t xml:space="preserve">(в 2015 году - </w:t>
      </w:r>
      <w:r w:rsidR="00B436A0" w:rsidRPr="00E31509">
        <w:rPr>
          <w:rFonts w:eastAsia="Calibri"/>
        </w:rPr>
        <w:t>8</w:t>
      </w:r>
      <w:r w:rsidR="007E5691" w:rsidRPr="00E31509">
        <w:rPr>
          <w:rFonts w:eastAsia="Calibri"/>
        </w:rPr>
        <w:t xml:space="preserve"> 041,0 тыс. руб</w:t>
      </w:r>
      <w:r w:rsidR="00EF522C" w:rsidRPr="00E31509">
        <w:rPr>
          <w:rFonts w:eastAsia="Calibri"/>
        </w:rPr>
        <w:t>лей</w:t>
      </w:r>
      <w:bookmarkStart w:id="1" w:name="_GoBack"/>
      <w:bookmarkEnd w:id="1"/>
      <w:r w:rsidR="007E5691" w:rsidRPr="00E31509">
        <w:rPr>
          <w:rFonts w:eastAsia="Calibri"/>
        </w:rPr>
        <w:t>)</w:t>
      </w:r>
      <w:r w:rsidR="00EA52A9" w:rsidRPr="00E31509">
        <w:rPr>
          <w:rFonts w:eastAsia="Calibri"/>
        </w:rPr>
        <w:t>.</w:t>
      </w:r>
    </w:p>
    <w:tbl>
      <w:tblPr>
        <w:tblW w:w="9889" w:type="dxa"/>
        <w:tblLook w:val="00A0"/>
      </w:tblPr>
      <w:tblGrid>
        <w:gridCol w:w="7479"/>
        <w:gridCol w:w="2410"/>
      </w:tblGrid>
      <w:tr w:rsidR="00270B8E" w:rsidRPr="003838C1" w:rsidTr="00596A9F">
        <w:trPr>
          <w:trHeight w:val="389"/>
        </w:trPr>
        <w:tc>
          <w:tcPr>
            <w:tcW w:w="7479" w:type="dxa"/>
          </w:tcPr>
          <w:p w:rsidR="00270B8E" w:rsidRPr="003838C1" w:rsidRDefault="00270B8E" w:rsidP="003838C1">
            <w:pPr>
              <w:ind w:firstLine="709"/>
              <w:jc w:val="both"/>
              <w:rPr>
                <w:b/>
                <w:i/>
              </w:rPr>
            </w:pPr>
          </w:p>
          <w:p w:rsidR="003838C1" w:rsidRPr="003838C1" w:rsidRDefault="003838C1" w:rsidP="003838C1">
            <w:pPr>
              <w:ind w:firstLine="709"/>
              <w:jc w:val="both"/>
              <w:rPr>
                <w:b/>
                <w:i/>
              </w:rPr>
            </w:pPr>
            <w:r w:rsidRPr="003838C1">
              <w:rPr>
                <w:b/>
                <w:i/>
              </w:rPr>
              <w:t>Выводы:</w:t>
            </w:r>
          </w:p>
        </w:tc>
        <w:tc>
          <w:tcPr>
            <w:tcW w:w="2410" w:type="dxa"/>
          </w:tcPr>
          <w:p w:rsidR="00270B8E" w:rsidRPr="003838C1" w:rsidRDefault="00270B8E" w:rsidP="00BD1FBF">
            <w:pPr>
              <w:ind w:left="-108"/>
              <w:jc w:val="both"/>
              <w:rPr>
                <w:b/>
                <w:i/>
              </w:rPr>
            </w:pPr>
          </w:p>
        </w:tc>
      </w:tr>
    </w:tbl>
    <w:p w:rsidR="00920910" w:rsidRDefault="00D30E47" w:rsidP="00D30E47">
      <w:pPr>
        <w:ind w:firstLine="851"/>
        <w:jc w:val="both"/>
        <w:rPr>
          <w:color w:val="0070C0"/>
        </w:rPr>
      </w:pPr>
      <w:r w:rsidRPr="00D30E47">
        <w:rPr>
          <w:b/>
        </w:rPr>
        <w:t>1.</w:t>
      </w:r>
      <w:r>
        <w:t xml:space="preserve"> </w:t>
      </w:r>
      <w:r w:rsidR="003838C1" w:rsidRPr="00C84AAD">
        <w:t xml:space="preserve">В целом доходы Комитета </w:t>
      </w:r>
      <w:r w:rsidR="00355961">
        <w:t>исполнены на</w:t>
      </w:r>
      <w:r w:rsidR="003838C1" w:rsidRPr="00C84AAD">
        <w:t xml:space="preserve"> 92,0%</w:t>
      </w:r>
      <w:r w:rsidR="008D0792">
        <w:t xml:space="preserve"> от </w:t>
      </w:r>
      <w:r w:rsidR="003838C1" w:rsidRPr="00C84AAD">
        <w:t xml:space="preserve"> плановых назначений, в том числе налоговые и неналоговые</w:t>
      </w:r>
      <w:r w:rsidR="008D0792">
        <w:t xml:space="preserve"> доходы  </w:t>
      </w:r>
      <w:r w:rsidR="00355961">
        <w:t xml:space="preserve">на </w:t>
      </w:r>
      <w:r w:rsidR="008D0792" w:rsidRPr="00C84AAD">
        <w:t>89,4%</w:t>
      </w:r>
      <w:r w:rsidR="003838C1" w:rsidRPr="00C84AAD">
        <w:t>, безвозмездные поступления</w:t>
      </w:r>
      <w:r w:rsidR="008D0792">
        <w:t xml:space="preserve"> - </w:t>
      </w:r>
      <w:r w:rsidR="008D0792" w:rsidRPr="00C84AAD">
        <w:t>92,4</w:t>
      </w:r>
      <w:r w:rsidR="008D0792">
        <w:t xml:space="preserve"> процента</w:t>
      </w:r>
      <w:r w:rsidR="003838C1" w:rsidRPr="00C84AAD">
        <w:t xml:space="preserve">. </w:t>
      </w:r>
    </w:p>
    <w:p w:rsidR="003838C1" w:rsidRPr="009016D5" w:rsidRDefault="003838C1" w:rsidP="00D30E47">
      <w:pPr>
        <w:autoSpaceDE w:val="0"/>
        <w:autoSpaceDN w:val="0"/>
        <w:adjustRightInd w:val="0"/>
        <w:ind w:firstLine="851"/>
        <w:jc w:val="both"/>
      </w:pPr>
      <w:r w:rsidRPr="009016D5">
        <w:t xml:space="preserve">Расходы, утверждённые Комитету, исполнены на 97,5%, объём неисполненных назначений составил 8 758,5 тыс. рублей. </w:t>
      </w:r>
      <w:r w:rsidR="00D30E47">
        <w:t>О</w:t>
      </w:r>
      <w:r w:rsidRPr="009016D5">
        <w:t>сновной причиной неисполнения расходов Комитетом и Учреждением</w:t>
      </w:r>
      <w:r w:rsidR="00D30E47">
        <w:t xml:space="preserve"> согласно отчетности</w:t>
      </w:r>
      <w:r w:rsidRPr="009016D5">
        <w:t xml:space="preserve"> явилось неисполнение принятых денежных обязательств, повлекшее образование кредиторской задолженности. Неисполненные денежные обязательства </w:t>
      </w:r>
      <w:r w:rsidR="008D0792">
        <w:t xml:space="preserve">в сумме </w:t>
      </w:r>
      <w:r w:rsidRPr="009016D5">
        <w:t>6 8</w:t>
      </w:r>
      <w:r w:rsidR="00D30E47">
        <w:t>79,1 тыс. руб</w:t>
      </w:r>
      <w:r w:rsidR="00C6629F">
        <w:t>.</w:t>
      </w:r>
      <w:r w:rsidR="00D30E47">
        <w:t xml:space="preserve"> в основном свя</w:t>
      </w:r>
      <w:r w:rsidRPr="009016D5">
        <w:t>заны с поздним поступлением документов от контрагентов (после 23.12.2016 – последнего дня приема заявок финансов</w:t>
      </w:r>
      <w:r w:rsidR="00C6629F">
        <w:t>ым</w:t>
      </w:r>
      <w:r w:rsidRPr="009016D5">
        <w:t xml:space="preserve"> орган</w:t>
      </w:r>
      <w:r w:rsidR="00C6629F">
        <w:t>ом</w:t>
      </w:r>
      <w:r w:rsidRPr="009016D5">
        <w:t>).</w:t>
      </w:r>
    </w:p>
    <w:p w:rsidR="003838C1" w:rsidRDefault="003838C1" w:rsidP="003838C1">
      <w:pPr>
        <w:autoSpaceDE w:val="0"/>
        <w:autoSpaceDN w:val="0"/>
        <w:adjustRightInd w:val="0"/>
        <w:ind w:firstLine="709"/>
        <w:jc w:val="both"/>
      </w:pPr>
      <w:r w:rsidRPr="009016D5">
        <w:t>Экономия по результатам применения конкурентных способов проведения закупок составила 932,5 тыс. рублей.</w:t>
      </w:r>
    </w:p>
    <w:p w:rsidR="00D30E47" w:rsidRDefault="00D30E47" w:rsidP="00D30E47">
      <w:pPr>
        <w:autoSpaceDE w:val="0"/>
        <w:autoSpaceDN w:val="0"/>
        <w:adjustRightInd w:val="0"/>
        <w:ind w:firstLine="709"/>
        <w:jc w:val="both"/>
      </w:pPr>
      <w:r w:rsidRPr="00D30E47">
        <w:rPr>
          <w:b/>
        </w:rPr>
        <w:t>2.</w:t>
      </w:r>
      <w:r>
        <w:t xml:space="preserve"> Дебиторская задолженность Комитета выросла с 2 192,6 тыс. руб. до 3 653,9 тыс. руб., или на 66,6 процента. Основной составляющей роста дебиторской задолженности стала задолженность по предоставленным муниципальным образованиям субвенциям на составление списков присяжных заседателей.</w:t>
      </w:r>
    </w:p>
    <w:p w:rsidR="00D30E47" w:rsidRPr="009016D5" w:rsidRDefault="00D30E47" w:rsidP="00D30E47">
      <w:pPr>
        <w:autoSpaceDE w:val="0"/>
        <w:autoSpaceDN w:val="0"/>
        <w:adjustRightInd w:val="0"/>
        <w:ind w:firstLine="709"/>
        <w:jc w:val="both"/>
      </w:pPr>
      <w:r>
        <w:t>За 2016 год кредиторская задолженность сократилась с 8 047,6 тыс. руб. до 6 916,5 тыс. руб., или на 14,1 процент</w:t>
      </w:r>
      <w:r w:rsidR="00C6629F">
        <w:t>а</w:t>
      </w:r>
      <w:r>
        <w:t>.</w:t>
      </w:r>
    </w:p>
    <w:p w:rsidR="00B76CE9" w:rsidRDefault="00B76CE9" w:rsidP="00D30E47">
      <w:pPr>
        <w:ind w:firstLine="709"/>
        <w:jc w:val="both"/>
      </w:pPr>
    </w:p>
    <w:p w:rsidR="00B76CE9" w:rsidRDefault="00B76CE9" w:rsidP="00D30E47">
      <w:pPr>
        <w:ind w:firstLine="709"/>
        <w:jc w:val="both"/>
      </w:pPr>
    </w:p>
    <w:p w:rsidR="00B76CE9" w:rsidRPr="00B76CE9" w:rsidRDefault="00B76CE9" w:rsidP="00D30E47">
      <w:pPr>
        <w:ind w:firstLine="709"/>
        <w:jc w:val="both"/>
        <w:rPr>
          <w:b/>
          <w:i/>
          <w:color w:val="0070C0"/>
        </w:rPr>
      </w:pPr>
      <w:r w:rsidRPr="00B76CE9">
        <w:rPr>
          <w:b/>
          <w:i/>
        </w:rPr>
        <w:t xml:space="preserve">Аудитор                                                                                     Н.Л. </w:t>
      </w:r>
      <w:proofErr w:type="spellStart"/>
      <w:r w:rsidRPr="00B76CE9">
        <w:rPr>
          <w:b/>
          <w:i/>
        </w:rPr>
        <w:t>Ноздрюхина</w:t>
      </w:r>
      <w:proofErr w:type="spellEnd"/>
    </w:p>
    <w:sectPr w:rsidR="00B76CE9" w:rsidRPr="00B76CE9" w:rsidSect="00FE4022">
      <w:headerReference w:type="even" r:id="rId8"/>
      <w:headerReference w:type="default" r:id="rId9"/>
      <w:pgSz w:w="11906" w:h="16838" w:code="9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78" w:rsidRDefault="00245078" w:rsidP="00BF1642">
      <w:r>
        <w:separator/>
      </w:r>
    </w:p>
  </w:endnote>
  <w:endnote w:type="continuationSeparator" w:id="1">
    <w:p w:rsidR="00245078" w:rsidRDefault="00245078" w:rsidP="00BF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78" w:rsidRDefault="00245078" w:rsidP="00BF1642">
      <w:r>
        <w:separator/>
      </w:r>
    </w:p>
  </w:footnote>
  <w:footnote w:type="continuationSeparator" w:id="1">
    <w:p w:rsidR="00245078" w:rsidRDefault="00245078" w:rsidP="00BF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78" w:rsidRDefault="006920C9" w:rsidP="00964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0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078" w:rsidRDefault="002450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78" w:rsidRDefault="006920C9" w:rsidP="00964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0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5961">
      <w:rPr>
        <w:rStyle w:val="a9"/>
        <w:noProof/>
      </w:rPr>
      <w:t>7</w:t>
    </w:r>
    <w:r>
      <w:rPr>
        <w:rStyle w:val="a9"/>
      </w:rPr>
      <w:fldChar w:fldCharType="end"/>
    </w:r>
  </w:p>
  <w:p w:rsidR="00245078" w:rsidRDefault="002450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14A679A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E66C70"/>
    <w:multiLevelType w:val="hybridMultilevel"/>
    <w:tmpl w:val="A4A60AD0"/>
    <w:lvl w:ilvl="0" w:tplc="360A7DE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4E4D1D"/>
    <w:multiLevelType w:val="hybridMultilevel"/>
    <w:tmpl w:val="0C84A4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967451"/>
    <w:multiLevelType w:val="hybridMultilevel"/>
    <w:tmpl w:val="44FA7DD0"/>
    <w:lvl w:ilvl="0" w:tplc="E0A22F84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A90CD2"/>
    <w:multiLevelType w:val="hybridMultilevel"/>
    <w:tmpl w:val="F1060C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F5EBA"/>
    <w:multiLevelType w:val="hybridMultilevel"/>
    <w:tmpl w:val="1C84466E"/>
    <w:lvl w:ilvl="0" w:tplc="11FE79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91396"/>
    <w:multiLevelType w:val="hybridMultilevel"/>
    <w:tmpl w:val="B6AA400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84073"/>
    <w:multiLevelType w:val="hybridMultilevel"/>
    <w:tmpl w:val="8ACA0AC6"/>
    <w:lvl w:ilvl="0" w:tplc="360A7DE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8F249D"/>
    <w:multiLevelType w:val="hybridMultilevel"/>
    <w:tmpl w:val="E9E8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414FD"/>
    <w:multiLevelType w:val="hybridMultilevel"/>
    <w:tmpl w:val="D832A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725507"/>
    <w:multiLevelType w:val="hybridMultilevel"/>
    <w:tmpl w:val="D8E0A846"/>
    <w:lvl w:ilvl="0" w:tplc="BD36779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AC1E9D"/>
    <w:multiLevelType w:val="hybridMultilevel"/>
    <w:tmpl w:val="CFEC1536"/>
    <w:lvl w:ilvl="0" w:tplc="E01E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D92"/>
    <w:rsid w:val="00000B3C"/>
    <w:rsid w:val="00001F6D"/>
    <w:rsid w:val="0000294E"/>
    <w:rsid w:val="000033DE"/>
    <w:rsid w:val="00004867"/>
    <w:rsid w:val="0001400C"/>
    <w:rsid w:val="00014FC6"/>
    <w:rsid w:val="0002255B"/>
    <w:rsid w:val="00022A29"/>
    <w:rsid w:val="00022DAE"/>
    <w:rsid w:val="000255A0"/>
    <w:rsid w:val="00031032"/>
    <w:rsid w:val="00031C54"/>
    <w:rsid w:val="00033371"/>
    <w:rsid w:val="00033EAD"/>
    <w:rsid w:val="00034502"/>
    <w:rsid w:val="00036230"/>
    <w:rsid w:val="000406F7"/>
    <w:rsid w:val="00041788"/>
    <w:rsid w:val="0006128A"/>
    <w:rsid w:val="000613F6"/>
    <w:rsid w:val="000618BA"/>
    <w:rsid w:val="00065AA8"/>
    <w:rsid w:val="00065D92"/>
    <w:rsid w:val="0007241A"/>
    <w:rsid w:val="00072AFA"/>
    <w:rsid w:val="0007407F"/>
    <w:rsid w:val="000742A9"/>
    <w:rsid w:val="0007484F"/>
    <w:rsid w:val="000754DB"/>
    <w:rsid w:val="000765D0"/>
    <w:rsid w:val="00081929"/>
    <w:rsid w:val="000835D7"/>
    <w:rsid w:val="00091B8F"/>
    <w:rsid w:val="000A241C"/>
    <w:rsid w:val="000A26E4"/>
    <w:rsid w:val="000A33F1"/>
    <w:rsid w:val="000A6511"/>
    <w:rsid w:val="000B2356"/>
    <w:rsid w:val="000B3D64"/>
    <w:rsid w:val="000B55B2"/>
    <w:rsid w:val="000B62F9"/>
    <w:rsid w:val="000C7C13"/>
    <w:rsid w:val="000D0F7B"/>
    <w:rsid w:val="000D1C3C"/>
    <w:rsid w:val="000E2C2E"/>
    <w:rsid w:val="000E6072"/>
    <w:rsid w:val="000E61EC"/>
    <w:rsid w:val="000F20A0"/>
    <w:rsid w:val="000F24F2"/>
    <w:rsid w:val="000F31EE"/>
    <w:rsid w:val="000F45D6"/>
    <w:rsid w:val="000F4940"/>
    <w:rsid w:val="00102C0C"/>
    <w:rsid w:val="00103957"/>
    <w:rsid w:val="001111D6"/>
    <w:rsid w:val="001123A9"/>
    <w:rsid w:val="001126C9"/>
    <w:rsid w:val="0011429A"/>
    <w:rsid w:val="00117E3F"/>
    <w:rsid w:val="00122354"/>
    <w:rsid w:val="001237F0"/>
    <w:rsid w:val="00123D37"/>
    <w:rsid w:val="00125368"/>
    <w:rsid w:val="00127B0C"/>
    <w:rsid w:val="0013243B"/>
    <w:rsid w:val="00134416"/>
    <w:rsid w:val="00140792"/>
    <w:rsid w:val="0014259D"/>
    <w:rsid w:val="00145669"/>
    <w:rsid w:val="00147805"/>
    <w:rsid w:val="001519C7"/>
    <w:rsid w:val="00154B3B"/>
    <w:rsid w:val="00163673"/>
    <w:rsid w:val="001709C0"/>
    <w:rsid w:val="00172102"/>
    <w:rsid w:val="00182B39"/>
    <w:rsid w:val="00192D35"/>
    <w:rsid w:val="0019523A"/>
    <w:rsid w:val="001956A3"/>
    <w:rsid w:val="001A12FC"/>
    <w:rsid w:val="001A2B91"/>
    <w:rsid w:val="001A3EAD"/>
    <w:rsid w:val="001B0465"/>
    <w:rsid w:val="001C0E3A"/>
    <w:rsid w:val="001C17DC"/>
    <w:rsid w:val="001C37EB"/>
    <w:rsid w:val="001C4903"/>
    <w:rsid w:val="001D4AB3"/>
    <w:rsid w:val="001D7742"/>
    <w:rsid w:val="001E4D2A"/>
    <w:rsid w:val="001E67B1"/>
    <w:rsid w:val="001E706E"/>
    <w:rsid w:val="001F091B"/>
    <w:rsid w:val="001F579C"/>
    <w:rsid w:val="001F737D"/>
    <w:rsid w:val="0020379D"/>
    <w:rsid w:val="00204216"/>
    <w:rsid w:val="00205433"/>
    <w:rsid w:val="002061FD"/>
    <w:rsid w:val="002069B4"/>
    <w:rsid w:val="002070A6"/>
    <w:rsid w:val="00214096"/>
    <w:rsid w:val="00214D89"/>
    <w:rsid w:val="00215E85"/>
    <w:rsid w:val="00216821"/>
    <w:rsid w:val="00220329"/>
    <w:rsid w:val="002236F9"/>
    <w:rsid w:val="0022705C"/>
    <w:rsid w:val="002332CB"/>
    <w:rsid w:val="00235E55"/>
    <w:rsid w:val="00240C8C"/>
    <w:rsid w:val="002411EE"/>
    <w:rsid w:val="00243DE7"/>
    <w:rsid w:val="00245078"/>
    <w:rsid w:val="002461CF"/>
    <w:rsid w:val="002628B5"/>
    <w:rsid w:val="00267A72"/>
    <w:rsid w:val="002702EC"/>
    <w:rsid w:val="00270B8E"/>
    <w:rsid w:val="0027549B"/>
    <w:rsid w:val="0028026F"/>
    <w:rsid w:val="002855F7"/>
    <w:rsid w:val="00290EFF"/>
    <w:rsid w:val="00293A55"/>
    <w:rsid w:val="00294337"/>
    <w:rsid w:val="002A39A8"/>
    <w:rsid w:val="002A6EB9"/>
    <w:rsid w:val="002A7327"/>
    <w:rsid w:val="002B243D"/>
    <w:rsid w:val="002B2DBF"/>
    <w:rsid w:val="002B4F9B"/>
    <w:rsid w:val="002B6FBA"/>
    <w:rsid w:val="002C0408"/>
    <w:rsid w:val="002C1A1B"/>
    <w:rsid w:val="002C5CCE"/>
    <w:rsid w:val="002E14A9"/>
    <w:rsid w:val="002E7A3A"/>
    <w:rsid w:val="002F7D9D"/>
    <w:rsid w:val="00303AD5"/>
    <w:rsid w:val="00305750"/>
    <w:rsid w:val="00314358"/>
    <w:rsid w:val="00314F29"/>
    <w:rsid w:val="00317109"/>
    <w:rsid w:val="00322293"/>
    <w:rsid w:val="0033234A"/>
    <w:rsid w:val="00336227"/>
    <w:rsid w:val="003428A2"/>
    <w:rsid w:val="0034584E"/>
    <w:rsid w:val="00350920"/>
    <w:rsid w:val="00352B4F"/>
    <w:rsid w:val="00355961"/>
    <w:rsid w:val="00356027"/>
    <w:rsid w:val="003570FE"/>
    <w:rsid w:val="0036053E"/>
    <w:rsid w:val="003615D4"/>
    <w:rsid w:val="00361D68"/>
    <w:rsid w:val="003641E8"/>
    <w:rsid w:val="00364778"/>
    <w:rsid w:val="00367D25"/>
    <w:rsid w:val="0037070D"/>
    <w:rsid w:val="003718E4"/>
    <w:rsid w:val="003733A3"/>
    <w:rsid w:val="003745E0"/>
    <w:rsid w:val="00375433"/>
    <w:rsid w:val="00380160"/>
    <w:rsid w:val="0038157C"/>
    <w:rsid w:val="003838C1"/>
    <w:rsid w:val="00385CE7"/>
    <w:rsid w:val="00385FC7"/>
    <w:rsid w:val="00387DBA"/>
    <w:rsid w:val="00391DE7"/>
    <w:rsid w:val="0039617D"/>
    <w:rsid w:val="00396888"/>
    <w:rsid w:val="003A050B"/>
    <w:rsid w:val="003A4035"/>
    <w:rsid w:val="003B4EED"/>
    <w:rsid w:val="003B5889"/>
    <w:rsid w:val="003C0DFD"/>
    <w:rsid w:val="003C29CA"/>
    <w:rsid w:val="003C4B1B"/>
    <w:rsid w:val="003C56B8"/>
    <w:rsid w:val="003C6A37"/>
    <w:rsid w:val="003D1224"/>
    <w:rsid w:val="003D22CE"/>
    <w:rsid w:val="003D62B6"/>
    <w:rsid w:val="003D66A0"/>
    <w:rsid w:val="003E0B5D"/>
    <w:rsid w:val="003E102D"/>
    <w:rsid w:val="003E3F68"/>
    <w:rsid w:val="003E41EC"/>
    <w:rsid w:val="003F0B53"/>
    <w:rsid w:val="003F50F6"/>
    <w:rsid w:val="003F62ED"/>
    <w:rsid w:val="003F6421"/>
    <w:rsid w:val="004068C1"/>
    <w:rsid w:val="0041138D"/>
    <w:rsid w:val="00411969"/>
    <w:rsid w:val="004121CA"/>
    <w:rsid w:val="004157E6"/>
    <w:rsid w:val="00422F1F"/>
    <w:rsid w:val="00423EA0"/>
    <w:rsid w:val="004268B0"/>
    <w:rsid w:val="004336B2"/>
    <w:rsid w:val="0044287A"/>
    <w:rsid w:val="004432E4"/>
    <w:rsid w:val="00443744"/>
    <w:rsid w:val="004473CE"/>
    <w:rsid w:val="004479CB"/>
    <w:rsid w:val="00450632"/>
    <w:rsid w:val="0046313B"/>
    <w:rsid w:val="004656E1"/>
    <w:rsid w:val="00470607"/>
    <w:rsid w:val="00472374"/>
    <w:rsid w:val="00472631"/>
    <w:rsid w:val="004733D1"/>
    <w:rsid w:val="00474236"/>
    <w:rsid w:val="004747C8"/>
    <w:rsid w:val="00476DAC"/>
    <w:rsid w:val="00481479"/>
    <w:rsid w:val="004819FB"/>
    <w:rsid w:val="00486B70"/>
    <w:rsid w:val="00486EBD"/>
    <w:rsid w:val="00492D2B"/>
    <w:rsid w:val="00493E63"/>
    <w:rsid w:val="00494BFF"/>
    <w:rsid w:val="0049647F"/>
    <w:rsid w:val="004A7269"/>
    <w:rsid w:val="004A7D1B"/>
    <w:rsid w:val="004B03E0"/>
    <w:rsid w:val="004B2C7E"/>
    <w:rsid w:val="004B4EE2"/>
    <w:rsid w:val="004B73F9"/>
    <w:rsid w:val="004C404A"/>
    <w:rsid w:val="004C4A64"/>
    <w:rsid w:val="004C71F1"/>
    <w:rsid w:val="004D43EB"/>
    <w:rsid w:val="004D7F6A"/>
    <w:rsid w:val="004E0A1F"/>
    <w:rsid w:val="004E145C"/>
    <w:rsid w:val="004E5FEB"/>
    <w:rsid w:val="004F110B"/>
    <w:rsid w:val="004F4AC9"/>
    <w:rsid w:val="004F5AA5"/>
    <w:rsid w:val="004F6084"/>
    <w:rsid w:val="004F637C"/>
    <w:rsid w:val="00502205"/>
    <w:rsid w:val="00502B79"/>
    <w:rsid w:val="0050376B"/>
    <w:rsid w:val="005060A0"/>
    <w:rsid w:val="00514976"/>
    <w:rsid w:val="00515CA2"/>
    <w:rsid w:val="005171A1"/>
    <w:rsid w:val="005204FB"/>
    <w:rsid w:val="00522FA1"/>
    <w:rsid w:val="00523268"/>
    <w:rsid w:val="0052424E"/>
    <w:rsid w:val="00524661"/>
    <w:rsid w:val="00526211"/>
    <w:rsid w:val="00527DD3"/>
    <w:rsid w:val="00530FA4"/>
    <w:rsid w:val="00540475"/>
    <w:rsid w:val="00542243"/>
    <w:rsid w:val="00545F54"/>
    <w:rsid w:val="00547DA5"/>
    <w:rsid w:val="00550825"/>
    <w:rsid w:val="00555117"/>
    <w:rsid w:val="00556FB6"/>
    <w:rsid w:val="00557620"/>
    <w:rsid w:val="005623DE"/>
    <w:rsid w:val="00562B99"/>
    <w:rsid w:val="00564393"/>
    <w:rsid w:val="005647A5"/>
    <w:rsid w:val="0056591A"/>
    <w:rsid w:val="00576BA3"/>
    <w:rsid w:val="00576DA4"/>
    <w:rsid w:val="0058536A"/>
    <w:rsid w:val="005870C7"/>
    <w:rsid w:val="00595064"/>
    <w:rsid w:val="00595657"/>
    <w:rsid w:val="00596A9F"/>
    <w:rsid w:val="005A0D98"/>
    <w:rsid w:val="005A1941"/>
    <w:rsid w:val="005A4875"/>
    <w:rsid w:val="005A5519"/>
    <w:rsid w:val="005A5950"/>
    <w:rsid w:val="005A6032"/>
    <w:rsid w:val="005A7500"/>
    <w:rsid w:val="005B38A5"/>
    <w:rsid w:val="005B42BD"/>
    <w:rsid w:val="005B66B9"/>
    <w:rsid w:val="005C27A0"/>
    <w:rsid w:val="005C2CF7"/>
    <w:rsid w:val="005C4484"/>
    <w:rsid w:val="005C62D9"/>
    <w:rsid w:val="005D0006"/>
    <w:rsid w:val="005D190F"/>
    <w:rsid w:val="005D1C9C"/>
    <w:rsid w:val="005E0A26"/>
    <w:rsid w:val="005E25E3"/>
    <w:rsid w:val="005E3265"/>
    <w:rsid w:val="005F01E1"/>
    <w:rsid w:val="005F0601"/>
    <w:rsid w:val="005F24F6"/>
    <w:rsid w:val="005F30C7"/>
    <w:rsid w:val="005F523B"/>
    <w:rsid w:val="005F64C1"/>
    <w:rsid w:val="00602FF9"/>
    <w:rsid w:val="006070A8"/>
    <w:rsid w:val="00616B38"/>
    <w:rsid w:val="00623328"/>
    <w:rsid w:val="00627F51"/>
    <w:rsid w:val="00637AF1"/>
    <w:rsid w:val="0064004F"/>
    <w:rsid w:val="00641C89"/>
    <w:rsid w:val="00644E8B"/>
    <w:rsid w:val="00645105"/>
    <w:rsid w:val="006462D6"/>
    <w:rsid w:val="0064636F"/>
    <w:rsid w:val="00646578"/>
    <w:rsid w:val="00646A89"/>
    <w:rsid w:val="00647199"/>
    <w:rsid w:val="00647EAE"/>
    <w:rsid w:val="006509C8"/>
    <w:rsid w:val="00657DE9"/>
    <w:rsid w:val="00662433"/>
    <w:rsid w:val="00663411"/>
    <w:rsid w:val="006635F2"/>
    <w:rsid w:val="006646B7"/>
    <w:rsid w:val="00665896"/>
    <w:rsid w:val="00666179"/>
    <w:rsid w:val="006674E3"/>
    <w:rsid w:val="00671CDC"/>
    <w:rsid w:val="00673E11"/>
    <w:rsid w:val="00674CE3"/>
    <w:rsid w:val="00675285"/>
    <w:rsid w:val="006817BE"/>
    <w:rsid w:val="00684C53"/>
    <w:rsid w:val="006920C9"/>
    <w:rsid w:val="006920EB"/>
    <w:rsid w:val="00693308"/>
    <w:rsid w:val="00694B50"/>
    <w:rsid w:val="006954FB"/>
    <w:rsid w:val="006A0643"/>
    <w:rsid w:val="006B1C8C"/>
    <w:rsid w:val="006B23AC"/>
    <w:rsid w:val="006B472C"/>
    <w:rsid w:val="006B5189"/>
    <w:rsid w:val="006B522B"/>
    <w:rsid w:val="006C06B9"/>
    <w:rsid w:val="006C1951"/>
    <w:rsid w:val="006C297B"/>
    <w:rsid w:val="006C35BE"/>
    <w:rsid w:val="006C6725"/>
    <w:rsid w:val="006D5FBF"/>
    <w:rsid w:val="006D7014"/>
    <w:rsid w:val="006D7FFE"/>
    <w:rsid w:val="006E0C78"/>
    <w:rsid w:val="006E3412"/>
    <w:rsid w:val="006E4F62"/>
    <w:rsid w:val="006F082C"/>
    <w:rsid w:val="006F1640"/>
    <w:rsid w:val="006F327D"/>
    <w:rsid w:val="006F3ED4"/>
    <w:rsid w:val="006F513D"/>
    <w:rsid w:val="006F7472"/>
    <w:rsid w:val="007009AE"/>
    <w:rsid w:val="007024F3"/>
    <w:rsid w:val="00704918"/>
    <w:rsid w:val="007052B8"/>
    <w:rsid w:val="0070587D"/>
    <w:rsid w:val="00706308"/>
    <w:rsid w:val="0071253A"/>
    <w:rsid w:val="00712F5B"/>
    <w:rsid w:val="00714823"/>
    <w:rsid w:val="0071514B"/>
    <w:rsid w:val="00723242"/>
    <w:rsid w:val="00724C1E"/>
    <w:rsid w:val="007263DA"/>
    <w:rsid w:val="007337E8"/>
    <w:rsid w:val="00733FFF"/>
    <w:rsid w:val="007364B4"/>
    <w:rsid w:val="007424E3"/>
    <w:rsid w:val="00753F01"/>
    <w:rsid w:val="00754FF2"/>
    <w:rsid w:val="00763B29"/>
    <w:rsid w:val="00763D4F"/>
    <w:rsid w:val="00770635"/>
    <w:rsid w:val="00786F07"/>
    <w:rsid w:val="007912AA"/>
    <w:rsid w:val="0079155B"/>
    <w:rsid w:val="00797646"/>
    <w:rsid w:val="007A0E4D"/>
    <w:rsid w:val="007A7438"/>
    <w:rsid w:val="007A7708"/>
    <w:rsid w:val="007B0D97"/>
    <w:rsid w:val="007B4432"/>
    <w:rsid w:val="007B4DF9"/>
    <w:rsid w:val="007C25A3"/>
    <w:rsid w:val="007C447E"/>
    <w:rsid w:val="007C4A68"/>
    <w:rsid w:val="007D254E"/>
    <w:rsid w:val="007D4619"/>
    <w:rsid w:val="007E01E6"/>
    <w:rsid w:val="007E4818"/>
    <w:rsid w:val="007E48FC"/>
    <w:rsid w:val="007E5691"/>
    <w:rsid w:val="007F05BE"/>
    <w:rsid w:val="007F2106"/>
    <w:rsid w:val="007F2340"/>
    <w:rsid w:val="007F2D5B"/>
    <w:rsid w:val="007F43E8"/>
    <w:rsid w:val="007F47B1"/>
    <w:rsid w:val="007F5189"/>
    <w:rsid w:val="007F7964"/>
    <w:rsid w:val="007F7AF7"/>
    <w:rsid w:val="0080312A"/>
    <w:rsid w:val="008035F3"/>
    <w:rsid w:val="00805324"/>
    <w:rsid w:val="00805577"/>
    <w:rsid w:val="00805878"/>
    <w:rsid w:val="008144C4"/>
    <w:rsid w:val="00814743"/>
    <w:rsid w:val="0081572C"/>
    <w:rsid w:val="0082035D"/>
    <w:rsid w:val="0082045D"/>
    <w:rsid w:val="008232D7"/>
    <w:rsid w:val="00823DD3"/>
    <w:rsid w:val="0082796D"/>
    <w:rsid w:val="00831600"/>
    <w:rsid w:val="00834526"/>
    <w:rsid w:val="00840F01"/>
    <w:rsid w:val="00842220"/>
    <w:rsid w:val="00842F64"/>
    <w:rsid w:val="00851BD3"/>
    <w:rsid w:val="00860A26"/>
    <w:rsid w:val="008629C4"/>
    <w:rsid w:val="00862E4D"/>
    <w:rsid w:val="00863108"/>
    <w:rsid w:val="00864480"/>
    <w:rsid w:val="00866094"/>
    <w:rsid w:val="0088426E"/>
    <w:rsid w:val="00884786"/>
    <w:rsid w:val="008850D1"/>
    <w:rsid w:val="00887169"/>
    <w:rsid w:val="008877B5"/>
    <w:rsid w:val="00887E87"/>
    <w:rsid w:val="00891ED5"/>
    <w:rsid w:val="0089257F"/>
    <w:rsid w:val="00893E3B"/>
    <w:rsid w:val="00894519"/>
    <w:rsid w:val="00896BEB"/>
    <w:rsid w:val="008974F0"/>
    <w:rsid w:val="008A48AA"/>
    <w:rsid w:val="008A56BA"/>
    <w:rsid w:val="008B0A6A"/>
    <w:rsid w:val="008B102B"/>
    <w:rsid w:val="008C154D"/>
    <w:rsid w:val="008C2339"/>
    <w:rsid w:val="008C45A1"/>
    <w:rsid w:val="008C7728"/>
    <w:rsid w:val="008D0792"/>
    <w:rsid w:val="008D134D"/>
    <w:rsid w:val="008D63CE"/>
    <w:rsid w:val="008D7FC5"/>
    <w:rsid w:val="008E3EA0"/>
    <w:rsid w:val="008F2C9B"/>
    <w:rsid w:val="008F4E63"/>
    <w:rsid w:val="008F7021"/>
    <w:rsid w:val="009016D5"/>
    <w:rsid w:val="00903130"/>
    <w:rsid w:val="009119E2"/>
    <w:rsid w:val="0091271F"/>
    <w:rsid w:val="00914356"/>
    <w:rsid w:val="00914415"/>
    <w:rsid w:val="00916AB9"/>
    <w:rsid w:val="00920910"/>
    <w:rsid w:val="00924654"/>
    <w:rsid w:val="00926A5F"/>
    <w:rsid w:val="00926D71"/>
    <w:rsid w:val="00930560"/>
    <w:rsid w:val="00933E28"/>
    <w:rsid w:val="009428F8"/>
    <w:rsid w:val="00942982"/>
    <w:rsid w:val="00942FB1"/>
    <w:rsid w:val="00944220"/>
    <w:rsid w:val="00944548"/>
    <w:rsid w:val="00944F6D"/>
    <w:rsid w:val="00944FFD"/>
    <w:rsid w:val="00952B9F"/>
    <w:rsid w:val="00952F33"/>
    <w:rsid w:val="009547CE"/>
    <w:rsid w:val="0095707E"/>
    <w:rsid w:val="009576C4"/>
    <w:rsid w:val="00957F2B"/>
    <w:rsid w:val="00962491"/>
    <w:rsid w:val="009649C8"/>
    <w:rsid w:val="00964A5B"/>
    <w:rsid w:val="00965332"/>
    <w:rsid w:val="00970989"/>
    <w:rsid w:val="00973626"/>
    <w:rsid w:val="00975624"/>
    <w:rsid w:val="00975F6A"/>
    <w:rsid w:val="00986E1B"/>
    <w:rsid w:val="0099085A"/>
    <w:rsid w:val="00991DDB"/>
    <w:rsid w:val="00992C22"/>
    <w:rsid w:val="00992D93"/>
    <w:rsid w:val="009934DB"/>
    <w:rsid w:val="009A115F"/>
    <w:rsid w:val="009A6EB5"/>
    <w:rsid w:val="009B1C6E"/>
    <w:rsid w:val="009C066C"/>
    <w:rsid w:val="009C10E5"/>
    <w:rsid w:val="009C1890"/>
    <w:rsid w:val="009C61DA"/>
    <w:rsid w:val="009D04A7"/>
    <w:rsid w:val="009D0F53"/>
    <w:rsid w:val="009D2A0E"/>
    <w:rsid w:val="009D4602"/>
    <w:rsid w:val="009E0975"/>
    <w:rsid w:val="009E31C8"/>
    <w:rsid w:val="009F0E81"/>
    <w:rsid w:val="009F1D79"/>
    <w:rsid w:val="009F3D12"/>
    <w:rsid w:val="009F62E8"/>
    <w:rsid w:val="009F769A"/>
    <w:rsid w:val="009F7B16"/>
    <w:rsid w:val="00A0147F"/>
    <w:rsid w:val="00A05DF0"/>
    <w:rsid w:val="00A12174"/>
    <w:rsid w:val="00A12A1F"/>
    <w:rsid w:val="00A14137"/>
    <w:rsid w:val="00A14620"/>
    <w:rsid w:val="00A15FCA"/>
    <w:rsid w:val="00A179B1"/>
    <w:rsid w:val="00A22544"/>
    <w:rsid w:val="00A261B3"/>
    <w:rsid w:val="00A26DEE"/>
    <w:rsid w:val="00A3456C"/>
    <w:rsid w:val="00A4066A"/>
    <w:rsid w:val="00A41283"/>
    <w:rsid w:val="00A44D2B"/>
    <w:rsid w:val="00A46839"/>
    <w:rsid w:val="00A46A8E"/>
    <w:rsid w:val="00A50A0B"/>
    <w:rsid w:val="00A50A7E"/>
    <w:rsid w:val="00A517B4"/>
    <w:rsid w:val="00A535A1"/>
    <w:rsid w:val="00A53D68"/>
    <w:rsid w:val="00A557B1"/>
    <w:rsid w:val="00A55AAD"/>
    <w:rsid w:val="00A56BB4"/>
    <w:rsid w:val="00A736A9"/>
    <w:rsid w:val="00A74A2D"/>
    <w:rsid w:val="00A7555E"/>
    <w:rsid w:val="00A77AD7"/>
    <w:rsid w:val="00A826C1"/>
    <w:rsid w:val="00A828E3"/>
    <w:rsid w:val="00A86372"/>
    <w:rsid w:val="00A878D9"/>
    <w:rsid w:val="00A91207"/>
    <w:rsid w:val="00A93985"/>
    <w:rsid w:val="00A95A02"/>
    <w:rsid w:val="00A95D92"/>
    <w:rsid w:val="00AA0079"/>
    <w:rsid w:val="00AA114A"/>
    <w:rsid w:val="00AA57C0"/>
    <w:rsid w:val="00AA5B8E"/>
    <w:rsid w:val="00AA70FC"/>
    <w:rsid w:val="00AA7776"/>
    <w:rsid w:val="00AB0F90"/>
    <w:rsid w:val="00AB73C4"/>
    <w:rsid w:val="00AC7F8B"/>
    <w:rsid w:val="00AD1298"/>
    <w:rsid w:val="00AE48CF"/>
    <w:rsid w:val="00AE4DD7"/>
    <w:rsid w:val="00AE4DEB"/>
    <w:rsid w:val="00AF3D12"/>
    <w:rsid w:val="00AF51A9"/>
    <w:rsid w:val="00AF7D3E"/>
    <w:rsid w:val="00B038B8"/>
    <w:rsid w:val="00B0588C"/>
    <w:rsid w:val="00B068EE"/>
    <w:rsid w:val="00B06A38"/>
    <w:rsid w:val="00B076F7"/>
    <w:rsid w:val="00B07E72"/>
    <w:rsid w:val="00B118F7"/>
    <w:rsid w:val="00B15837"/>
    <w:rsid w:val="00B17FD0"/>
    <w:rsid w:val="00B20B47"/>
    <w:rsid w:val="00B22E80"/>
    <w:rsid w:val="00B23F79"/>
    <w:rsid w:val="00B24F34"/>
    <w:rsid w:val="00B25FA8"/>
    <w:rsid w:val="00B27261"/>
    <w:rsid w:val="00B31BD0"/>
    <w:rsid w:val="00B35CCE"/>
    <w:rsid w:val="00B42AE3"/>
    <w:rsid w:val="00B436A0"/>
    <w:rsid w:val="00B44F2A"/>
    <w:rsid w:val="00B46A85"/>
    <w:rsid w:val="00B479CD"/>
    <w:rsid w:val="00B50942"/>
    <w:rsid w:val="00B51A10"/>
    <w:rsid w:val="00B544A1"/>
    <w:rsid w:val="00B54C56"/>
    <w:rsid w:val="00B60249"/>
    <w:rsid w:val="00B61FC3"/>
    <w:rsid w:val="00B6469C"/>
    <w:rsid w:val="00B67005"/>
    <w:rsid w:val="00B72CD7"/>
    <w:rsid w:val="00B76CE9"/>
    <w:rsid w:val="00B8151C"/>
    <w:rsid w:val="00B82C69"/>
    <w:rsid w:val="00B83845"/>
    <w:rsid w:val="00B83B64"/>
    <w:rsid w:val="00B879DC"/>
    <w:rsid w:val="00B87AFA"/>
    <w:rsid w:val="00B9049C"/>
    <w:rsid w:val="00B91FF8"/>
    <w:rsid w:val="00B97352"/>
    <w:rsid w:val="00BA0690"/>
    <w:rsid w:val="00BA5203"/>
    <w:rsid w:val="00BB0A43"/>
    <w:rsid w:val="00BB0FA7"/>
    <w:rsid w:val="00BB1598"/>
    <w:rsid w:val="00BB6A9D"/>
    <w:rsid w:val="00BC22D4"/>
    <w:rsid w:val="00BD1023"/>
    <w:rsid w:val="00BD1390"/>
    <w:rsid w:val="00BD1FBF"/>
    <w:rsid w:val="00BD4EFE"/>
    <w:rsid w:val="00BD7033"/>
    <w:rsid w:val="00BE4971"/>
    <w:rsid w:val="00BE6136"/>
    <w:rsid w:val="00BF11FC"/>
    <w:rsid w:val="00BF1642"/>
    <w:rsid w:val="00C02E9E"/>
    <w:rsid w:val="00C03B82"/>
    <w:rsid w:val="00C03BFC"/>
    <w:rsid w:val="00C06E81"/>
    <w:rsid w:val="00C1011E"/>
    <w:rsid w:val="00C1598E"/>
    <w:rsid w:val="00C16FCA"/>
    <w:rsid w:val="00C24C62"/>
    <w:rsid w:val="00C339C9"/>
    <w:rsid w:val="00C33C47"/>
    <w:rsid w:val="00C36C52"/>
    <w:rsid w:val="00C37FAB"/>
    <w:rsid w:val="00C44F4A"/>
    <w:rsid w:val="00C5210F"/>
    <w:rsid w:val="00C53586"/>
    <w:rsid w:val="00C53823"/>
    <w:rsid w:val="00C53912"/>
    <w:rsid w:val="00C53916"/>
    <w:rsid w:val="00C570E6"/>
    <w:rsid w:val="00C625F1"/>
    <w:rsid w:val="00C62E5B"/>
    <w:rsid w:val="00C642BA"/>
    <w:rsid w:val="00C6629F"/>
    <w:rsid w:val="00C67CF7"/>
    <w:rsid w:val="00C718E3"/>
    <w:rsid w:val="00C71AB6"/>
    <w:rsid w:val="00C72BA7"/>
    <w:rsid w:val="00C80A7A"/>
    <w:rsid w:val="00C8197B"/>
    <w:rsid w:val="00C84AAD"/>
    <w:rsid w:val="00C9052F"/>
    <w:rsid w:val="00C92CEC"/>
    <w:rsid w:val="00C9409C"/>
    <w:rsid w:val="00C95286"/>
    <w:rsid w:val="00CA09C9"/>
    <w:rsid w:val="00CB2714"/>
    <w:rsid w:val="00CB50CA"/>
    <w:rsid w:val="00CC15B3"/>
    <w:rsid w:val="00CC1D1C"/>
    <w:rsid w:val="00CC2099"/>
    <w:rsid w:val="00CD3B49"/>
    <w:rsid w:val="00CD66F7"/>
    <w:rsid w:val="00CD773A"/>
    <w:rsid w:val="00CE3144"/>
    <w:rsid w:val="00CE338E"/>
    <w:rsid w:val="00CE3816"/>
    <w:rsid w:val="00CF1C09"/>
    <w:rsid w:val="00CF4E5E"/>
    <w:rsid w:val="00D0098A"/>
    <w:rsid w:val="00D00C48"/>
    <w:rsid w:val="00D0137D"/>
    <w:rsid w:val="00D01F4D"/>
    <w:rsid w:val="00D020B3"/>
    <w:rsid w:val="00D0347D"/>
    <w:rsid w:val="00D03610"/>
    <w:rsid w:val="00D10276"/>
    <w:rsid w:val="00D108DB"/>
    <w:rsid w:val="00D15D16"/>
    <w:rsid w:val="00D15E99"/>
    <w:rsid w:val="00D21452"/>
    <w:rsid w:val="00D22E8D"/>
    <w:rsid w:val="00D240F6"/>
    <w:rsid w:val="00D25A37"/>
    <w:rsid w:val="00D25D1B"/>
    <w:rsid w:val="00D30E47"/>
    <w:rsid w:val="00D3425D"/>
    <w:rsid w:val="00D355D4"/>
    <w:rsid w:val="00D370E1"/>
    <w:rsid w:val="00D40CD5"/>
    <w:rsid w:val="00D4226F"/>
    <w:rsid w:val="00D429AB"/>
    <w:rsid w:val="00D44D87"/>
    <w:rsid w:val="00D46913"/>
    <w:rsid w:val="00D525D5"/>
    <w:rsid w:val="00D52FFE"/>
    <w:rsid w:val="00D53C3D"/>
    <w:rsid w:val="00D5752A"/>
    <w:rsid w:val="00D656F9"/>
    <w:rsid w:val="00D7019C"/>
    <w:rsid w:val="00D72B63"/>
    <w:rsid w:val="00D75FAD"/>
    <w:rsid w:val="00D77CD7"/>
    <w:rsid w:val="00D8091C"/>
    <w:rsid w:val="00D84273"/>
    <w:rsid w:val="00D843D9"/>
    <w:rsid w:val="00D8703B"/>
    <w:rsid w:val="00D874F2"/>
    <w:rsid w:val="00D87BA4"/>
    <w:rsid w:val="00D9181D"/>
    <w:rsid w:val="00D9282D"/>
    <w:rsid w:val="00D9452A"/>
    <w:rsid w:val="00D953A3"/>
    <w:rsid w:val="00D96503"/>
    <w:rsid w:val="00DA261C"/>
    <w:rsid w:val="00DA649E"/>
    <w:rsid w:val="00DB22AC"/>
    <w:rsid w:val="00DB3396"/>
    <w:rsid w:val="00DB6569"/>
    <w:rsid w:val="00DC02E3"/>
    <w:rsid w:val="00DC5D19"/>
    <w:rsid w:val="00DC6649"/>
    <w:rsid w:val="00DC79DD"/>
    <w:rsid w:val="00DD1500"/>
    <w:rsid w:val="00DD66A5"/>
    <w:rsid w:val="00DD7858"/>
    <w:rsid w:val="00DE016B"/>
    <w:rsid w:val="00DE2CA9"/>
    <w:rsid w:val="00DF0444"/>
    <w:rsid w:val="00DF6466"/>
    <w:rsid w:val="00E011C6"/>
    <w:rsid w:val="00E028AD"/>
    <w:rsid w:val="00E02FFD"/>
    <w:rsid w:val="00E06D00"/>
    <w:rsid w:val="00E12804"/>
    <w:rsid w:val="00E13178"/>
    <w:rsid w:val="00E13D79"/>
    <w:rsid w:val="00E14C80"/>
    <w:rsid w:val="00E17071"/>
    <w:rsid w:val="00E23FDD"/>
    <w:rsid w:val="00E27905"/>
    <w:rsid w:val="00E31509"/>
    <w:rsid w:val="00E32191"/>
    <w:rsid w:val="00E346B2"/>
    <w:rsid w:val="00E420A4"/>
    <w:rsid w:val="00E4618D"/>
    <w:rsid w:val="00E46B36"/>
    <w:rsid w:val="00E54A99"/>
    <w:rsid w:val="00E5562E"/>
    <w:rsid w:val="00E6339C"/>
    <w:rsid w:val="00E66C56"/>
    <w:rsid w:val="00E676C7"/>
    <w:rsid w:val="00E73A14"/>
    <w:rsid w:val="00E76F64"/>
    <w:rsid w:val="00E83DAA"/>
    <w:rsid w:val="00E85747"/>
    <w:rsid w:val="00E918BA"/>
    <w:rsid w:val="00E9197B"/>
    <w:rsid w:val="00E92C04"/>
    <w:rsid w:val="00E94960"/>
    <w:rsid w:val="00E96862"/>
    <w:rsid w:val="00E97D07"/>
    <w:rsid w:val="00EA344B"/>
    <w:rsid w:val="00EA52A9"/>
    <w:rsid w:val="00EA6F43"/>
    <w:rsid w:val="00EB2968"/>
    <w:rsid w:val="00EB2E19"/>
    <w:rsid w:val="00EB34A2"/>
    <w:rsid w:val="00EB3634"/>
    <w:rsid w:val="00EB7314"/>
    <w:rsid w:val="00EC2B40"/>
    <w:rsid w:val="00EC4CED"/>
    <w:rsid w:val="00EC5B64"/>
    <w:rsid w:val="00EC625D"/>
    <w:rsid w:val="00ED2F73"/>
    <w:rsid w:val="00ED691B"/>
    <w:rsid w:val="00EE5B0C"/>
    <w:rsid w:val="00EE5C60"/>
    <w:rsid w:val="00EE6473"/>
    <w:rsid w:val="00EE73F5"/>
    <w:rsid w:val="00EE7B76"/>
    <w:rsid w:val="00EF0886"/>
    <w:rsid w:val="00EF0F55"/>
    <w:rsid w:val="00EF2083"/>
    <w:rsid w:val="00EF3548"/>
    <w:rsid w:val="00EF522C"/>
    <w:rsid w:val="00EF73BC"/>
    <w:rsid w:val="00EF7527"/>
    <w:rsid w:val="00F001E2"/>
    <w:rsid w:val="00F0172E"/>
    <w:rsid w:val="00F01B27"/>
    <w:rsid w:val="00F04BAD"/>
    <w:rsid w:val="00F05231"/>
    <w:rsid w:val="00F05C8C"/>
    <w:rsid w:val="00F0774E"/>
    <w:rsid w:val="00F2082A"/>
    <w:rsid w:val="00F236B2"/>
    <w:rsid w:val="00F25A61"/>
    <w:rsid w:val="00F279D5"/>
    <w:rsid w:val="00F31634"/>
    <w:rsid w:val="00F35FF1"/>
    <w:rsid w:val="00F36273"/>
    <w:rsid w:val="00F42532"/>
    <w:rsid w:val="00F43FA9"/>
    <w:rsid w:val="00F445F1"/>
    <w:rsid w:val="00F46B29"/>
    <w:rsid w:val="00F47DF9"/>
    <w:rsid w:val="00F5546D"/>
    <w:rsid w:val="00F61414"/>
    <w:rsid w:val="00F61737"/>
    <w:rsid w:val="00F622B9"/>
    <w:rsid w:val="00F62E52"/>
    <w:rsid w:val="00F708C4"/>
    <w:rsid w:val="00F75847"/>
    <w:rsid w:val="00F75A42"/>
    <w:rsid w:val="00F81EFA"/>
    <w:rsid w:val="00F820E4"/>
    <w:rsid w:val="00F853C1"/>
    <w:rsid w:val="00F857A5"/>
    <w:rsid w:val="00F93074"/>
    <w:rsid w:val="00F95128"/>
    <w:rsid w:val="00FA48A5"/>
    <w:rsid w:val="00FB135B"/>
    <w:rsid w:val="00FC159E"/>
    <w:rsid w:val="00FC42B4"/>
    <w:rsid w:val="00FC7CF8"/>
    <w:rsid w:val="00FD0466"/>
    <w:rsid w:val="00FD28D2"/>
    <w:rsid w:val="00FD2EF5"/>
    <w:rsid w:val="00FD4830"/>
    <w:rsid w:val="00FE1DB7"/>
    <w:rsid w:val="00FE4022"/>
    <w:rsid w:val="00FE5FB7"/>
    <w:rsid w:val="00FE68FE"/>
    <w:rsid w:val="00FF40B7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5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5D92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95D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95D9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95D9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95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95D92"/>
    <w:rPr>
      <w:rFonts w:cs="Times New Roman"/>
    </w:rPr>
  </w:style>
  <w:style w:type="paragraph" w:customStyle="1" w:styleId="aa">
    <w:name w:val="Комментарий"/>
    <w:basedOn w:val="a"/>
    <w:next w:val="a"/>
    <w:uiPriority w:val="99"/>
    <w:rsid w:val="00A95D9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en-US"/>
    </w:rPr>
  </w:style>
  <w:style w:type="paragraph" w:customStyle="1" w:styleId="ab">
    <w:name w:val="Заголовок статьи"/>
    <w:basedOn w:val="a"/>
    <w:next w:val="a"/>
    <w:uiPriority w:val="99"/>
    <w:rsid w:val="00A95D9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rsid w:val="00A95D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5D92"/>
    <w:pPr>
      <w:ind w:left="720"/>
      <w:contextualSpacing/>
    </w:pPr>
  </w:style>
  <w:style w:type="table" w:styleId="af">
    <w:name w:val="Table Grid"/>
    <w:basedOn w:val="a1"/>
    <w:rsid w:val="00A95D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A95D9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A95D9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rsid w:val="00A95D9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95D9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95D9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A95D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95D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A95D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A95D92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basedOn w:val="a0"/>
    <w:uiPriority w:val="99"/>
    <w:rsid w:val="00A95D92"/>
    <w:rPr>
      <w:rFonts w:cs="Times New Roman"/>
      <w:color w:val="106BBE"/>
    </w:rPr>
  </w:style>
  <w:style w:type="character" w:customStyle="1" w:styleId="afa">
    <w:name w:val="Цветовое выделение"/>
    <w:uiPriority w:val="99"/>
    <w:rsid w:val="00A95D92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A95D92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iPriority w:val="99"/>
    <w:rsid w:val="00A95D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95D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a"/>
    <w:next w:val="a"/>
    <w:uiPriority w:val="99"/>
    <w:rsid w:val="00A95D92"/>
    <w:pPr>
      <w:spacing w:before="75"/>
    </w:pPr>
    <w:rPr>
      <w:color w:val="353842"/>
      <w:sz w:val="24"/>
      <w:szCs w:val="24"/>
      <w:shd w:val="clear" w:color="auto" w:fill="F0F0F0"/>
      <w:lang w:eastAsia="ru-RU"/>
    </w:rPr>
  </w:style>
  <w:style w:type="character" w:styleId="afd">
    <w:name w:val="Hyperlink"/>
    <w:basedOn w:val="a0"/>
    <w:uiPriority w:val="99"/>
    <w:rsid w:val="00A95D9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A95D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95D9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E4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e">
    <w:name w:val="Сравнение редакций. Удаленный фрагмент"/>
    <w:uiPriority w:val="99"/>
    <w:rsid w:val="00E85747"/>
    <w:rPr>
      <w:color w:val="000000"/>
      <w:shd w:val="clear" w:color="auto" w:fill="C4C413"/>
    </w:rPr>
  </w:style>
  <w:style w:type="paragraph" w:styleId="aff">
    <w:name w:val="Normal (Web)"/>
    <w:basedOn w:val="a"/>
    <w:uiPriority w:val="99"/>
    <w:unhideWhenUsed/>
    <w:rsid w:val="00763B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66BE-DD08-42B2-B1EE-A4326A1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2756</Words>
  <Characters>18558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Заброда</dc:creator>
  <cp:lastModifiedBy>Молдованов</cp:lastModifiedBy>
  <cp:revision>17</cp:revision>
  <cp:lastPrinted>2017-03-14T06:52:00Z</cp:lastPrinted>
  <dcterms:created xsi:type="dcterms:W3CDTF">2017-03-13T09:43:00Z</dcterms:created>
  <dcterms:modified xsi:type="dcterms:W3CDTF">2017-03-22T06:26:00Z</dcterms:modified>
</cp:coreProperties>
</file>