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FE" w:rsidRPr="00FB2C30" w:rsidRDefault="000E42FE" w:rsidP="000E42FE">
      <w:pPr>
        <w:ind w:left="4956" w:firstLine="708"/>
        <w:rPr>
          <w:b/>
          <w:bCs/>
          <w:caps/>
        </w:rPr>
      </w:pPr>
      <w:r w:rsidRPr="00FB2C30">
        <w:rPr>
          <w:b/>
          <w:bCs/>
          <w:caps/>
        </w:rPr>
        <w:t>УТВЕРЖДАЮ</w:t>
      </w:r>
    </w:p>
    <w:p w:rsidR="000E42FE" w:rsidRPr="00FB2C30" w:rsidRDefault="000E42FE" w:rsidP="000E42FE">
      <w:pPr>
        <w:ind w:left="5664"/>
        <w:rPr>
          <w:b/>
        </w:rPr>
      </w:pPr>
      <w:r w:rsidRPr="00FB2C30">
        <w:rPr>
          <w:b/>
        </w:rPr>
        <w:t>Председатель контрольно-счетной палаты Волгоградской области</w:t>
      </w:r>
    </w:p>
    <w:p w:rsidR="000E42FE" w:rsidRPr="00FB2C30" w:rsidRDefault="000E42FE" w:rsidP="000E42FE">
      <w:pPr>
        <w:ind w:left="4956" w:firstLine="708"/>
        <w:rPr>
          <w:b/>
          <w:bCs/>
        </w:rPr>
      </w:pPr>
    </w:p>
    <w:p w:rsidR="000E42FE" w:rsidRPr="00FB2C30" w:rsidRDefault="000E42FE" w:rsidP="000E42FE">
      <w:pPr>
        <w:ind w:left="4956" w:firstLine="708"/>
        <w:rPr>
          <w:b/>
          <w:bCs/>
        </w:rPr>
      </w:pPr>
      <w:r w:rsidRPr="00FB2C30">
        <w:rPr>
          <w:b/>
          <w:bCs/>
        </w:rPr>
        <w:t>____________ И.А. Дьяченко</w:t>
      </w:r>
    </w:p>
    <w:p w:rsidR="000E42FE" w:rsidRPr="00FB2C30" w:rsidRDefault="000E42FE" w:rsidP="000E42FE">
      <w:pPr>
        <w:ind w:left="4956" w:firstLine="708"/>
        <w:rPr>
          <w:b/>
          <w:bCs/>
        </w:rPr>
      </w:pPr>
    </w:p>
    <w:p w:rsidR="000E42FE" w:rsidRPr="00FB2C30" w:rsidRDefault="000E42FE" w:rsidP="000E42FE">
      <w:pPr>
        <w:ind w:left="4956" w:firstLine="708"/>
        <w:rPr>
          <w:b/>
          <w:bCs/>
        </w:rPr>
      </w:pPr>
      <w:r w:rsidRPr="00FB2C30">
        <w:rPr>
          <w:b/>
          <w:bCs/>
        </w:rPr>
        <w:t>«______»  марта 20</w:t>
      </w:r>
      <w:r w:rsidR="00DB6CDF">
        <w:rPr>
          <w:b/>
          <w:bCs/>
        </w:rPr>
        <w:t>20</w:t>
      </w:r>
      <w:r w:rsidRPr="00FB2C30">
        <w:rPr>
          <w:b/>
          <w:bCs/>
        </w:rPr>
        <w:t xml:space="preserve"> года</w:t>
      </w:r>
    </w:p>
    <w:p w:rsidR="000E42FE" w:rsidRPr="00FB2C30" w:rsidRDefault="000E42FE" w:rsidP="000E42FE">
      <w:pPr>
        <w:pStyle w:val="a3"/>
        <w:tabs>
          <w:tab w:val="left" w:pos="8007"/>
        </w:tabs>
        <w:rPr>
          <w:szCs w:val="24"/>
        </w:rPr>
      </w:pPr>
    </w:p>
    <w:p w:rsidR="000E42FE" w:rsidRPr="00F505A6" w:rsidRDefault="000E42FE" w:rsidP="000E42FE">
      <w:pPr>
        <w:pStyle w:val="a3"/>
        <w:tabs>
          <w:tab w:val="left" w:pos="8007"/>
        </w:tabs>
        <w:rPr>
          <w:szCs w:val="24"/>
        </w:rPr>
      </w:pPr>
      <w:r w:rsidRPr="009106D3">
        <w:rPr>
          <w:szCs w:val="24"/>
        </w:rPr>
        <w:t>Заключение</w:t>
      </w:r>
    </w:p>
    <w:p w:rsidR="000E42FE" w:rsidRPr="00F505A6" w:rsidRDefault="000E42FE" w:rsidP="000E42FE">
      <w:pPr>
        <w:pStyle w:val="a3"/>
        <w:rPr>
          <w:szCs w:val="24"/>
        </w:rPr>
      </w:pPr>
      <w:r w:rsidRPr="00F505A6">
        <w:rPr>
          <w:szCs w:val="24"/>
        </w:rPr>
        <w:t xml:space="preserve">по результатам внешней проверки бюджетной отчетности и </w:t>
      </w:r>
    </w:p>
    <w:p w:rsidR="000E42FE" w:rsidRPr="00F505A6" w:rsidRDefault="000E42FE" w:rsidP="000E42FE">
      <w:pPr>
        <w:pStyle w:val="a3"/>
      </w:pPr>
      <w:r w:rsidRPr="00F505A6">
        <w:rPr>
          <w:szCs w:val="24"/>
        </w:rPr>
        <w:t>отдельных вопросов исполнения областного бюджета</w:t>
      </w:r>
      <w:r w:rsidRPr="00F505A6">
        <w:t xml:space="preserve"> за 201</w:t>
      </w:r>
      <w:r w:rsidR="00DB6CDF" w:rsidRPr="00F505A6">
        <w:t>9</w:t>
      </w:r>
      <w:r w:rsidRPr="00F505A6">
        <w:t xml:space="preserve"> год главным администратором средств областного бюджета – комитетом по делам территориальных образований, внутренней и информационной политики Волгоградской области</w:t>
      </w:r>
    </w:p>
    <w:p w:rsidR="000E42FE" w:rsidRPr="00FB2C30" w:rsidRDefault="000E42FE" w:rsidP="000E42FE">
      <w:pPr>
        <w:pStyle w:val="a3"/>
      </w:pPr>
    </w:p>
    <w:p w:rsidR="000E42FE" w:rsidRPr="00381314" w:rsidRDefault="000E42FE" w:rsidP="000E42FE">
      <w:pPr>
        <w:ind w:firstLine="720"/>
        <w:jc w:val="both"/>
      </w:pPr>
      <w:proofErr w:type="gramStart"/>
      <w:r w:rsidRPr="00381314">
        <w:t xml:space="preserve">Камеральная проверка проведена в соответствии </w:t>
      </w:r>
      <w:r w:rsidRPr="00381314">
        <w:rPr>
          <w:snapToGrid w:val="0"/>
        </w:rPr>
        <w:t xml:space="preserve">со Стандартом финансового контроля </w:t>
      </w:r>
      <w:r w:rsidRPr="00381314">
        <w:t>«Последующий контроль за исполнением бюджета Волгоградской области»</w:t>
      </w:r>
      <w:r w:rsidRPr="00381314">
        <w:rPr>
          <w:snapToGrid w:val="0"/>
        </w:rPr>
        <w:t>, утвержденным постановлением коллегии КСП от 30.09.2008 № 37 (далее Стандарт финансового контроля КСП),</w:t>
      </w:r>
      <w:r w:rsidRPr="00381314">
        <w:t xml:space="preserve"> на основе бюджетной отчетности Комитета за 201</w:t>
      </w:r>
      <w:r w:rsidR="00DB6CDF" w:rsidRPr="00381314">
        <w:t>9</w:t>
      </w:r>
      <w:r w:rsidRPr="00381314">
        <w:t xml:space="preserve"> год в составе, определенном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</w:t>
      </w:r>
      <w:proofErr w:type="gramEnd"/>
      <w:r w:rsidRPr="00381314">
        <w:t xml:space="preserve"> от 28.12.2010 № 191н (далее Инструкция № 191н).</w:t>
      </w:r>
    </w:p>
    <w:p w:rsidR="000E42FE" w:rsidRPr="00381314" w:rsidRDefault="000E42FE" w:rsidP="00DB6CD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1314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Комитет осуществляет свою деятельность в соответствии с Положением о комитете по делам территориальных образований, внутренней и информационной политики Волгоградской области (далее Комитет), утвержденным постановлением Губернатора Волгоградской области от 19.12.2016 № 955.</w:t>
      </w:r>
    </w:p>
    <w:p w:rsidR="000E42FE" w:rsidRPr="00381314" w:rsidRDefault="000E42FE" w:rsidP="00DB6CDF">
      <w:pPr>
        <w:tabs>
          <w:tab w:val="left" w:pos="1410"/>
        </w:tabs>
        <w:ind w:firstLine="709"/>
        <w:jc w:val="both"/>
      </w:pPr>
      <w:r w:rsidRPr="00381314">
        <w:t>Комитет является органом исполнительной власти Волгоградской области, участвующим в проведении единой государственной политики по вопросам организации местного самоуправления, а также уполномоченным на организацию и обеспечение взаимодействия Губернатора Волгоградской области и Администрации Волгоградской области с некоммерческими организациями, в том числе с политическими партиями и организациями ветеранов, на проведение государственной информационной политики на территории Волгоградской области в сфере средств массовой информации и массовых коммуникаций, развития информационных ресурсов, печати, издательской, полиграфической деятельности, распространения печатной продукции.</w:t>
      </w:r>
    </w:p>
    <w:p w:rsidR="005310FD" w:rsidRPr="009106D3" w:rsidRDefault="005310FD" w:rsidP="0071476B">
      <w:pPr>
        <w:tabs>
          <w:tab w:val="left" w:pos="900"/>
        </w:tabs>
        <w:ind w:firstLine="720"/>
        <w:jc w:val="both"/>
      </w:pPr>
      <w:r w:rsidRPr="00381314">
        <w:t>Штатная численность работников Комитета составляет 65 человек, в том числе 58 человек – занимающие должности государственной гражданской службы</w:t>
      </w:r>
      <w:r w:rsidR="005C0E75">
        <w:t xml:space="preserve">, </w:t>
      </w:r>
      <w:r w:rsidR="005C0E75" w:rsidRPr="00186C61">
        <w:t xml:space="preserve">что соответствует </w:t>
      </w:r>
      <w:r w:rsidR="005F3963" w:rsidRPr="00186C61">
        <w:t>уровн</w:t>
      </w:r>
      <w:r w:rsidR="005C0E75" w:rsidRPr="00186C61">
        <w:t>ю</w:t>
      </w:r>
      <w:r w:rsidR="005F3963" w:rsidRPr="00186C61">
        <w:t xml:space="preserve"> 2018 года.</w:t>
      </w:r>
      <w:r w:rsidRPr="00186C61">
        <w:t xml:space="preserve"> Фактическая численность работников на конец отчетного периода составила 63 человека, в том числе 57 человек – занимающие</w:t>
      </w:r>
      <w:r w:rsidRPr="00381314">
        <w:t xml:space="preserve"> должности государственной гражданской </w:t>
      </w:r>
      <w:r w:rsidRPr="009106D3">
        <w:t xml:space="preserve">службы. </w:t>
      </w:r>
    </w:p>
    <w:p w:rsidR="00191CB6" w:rsidRPr="009106D3" w:rsidRDefault="00033BB5" w:rsidP="00033BB5">
      <w:pPr>
        <w:tabs>
          <w:tab w:val="left" w:pos="1410"/>
        </w:tabs>
        <w:spacing w:before="120" w:after="120"/>
        <w:ind w:firstLine="709"/>
        <w:jc w:val="center"/>
        <w:rPr>
          <w:b/>
        </w:rPr>
      </w:pPr>
      <w:r w:rsidRPr="009106D3">
        <w:rPr>
          <w:b/>
        </w:rPr>
        <w:t>Б</w:t>
      </w:r>
      <w:r w:rsidR="00191CB6" w:rsidRPr="009106D3">
        <w:rPr>
          <w:b/>
        </w:rPr>
        <w:t>юджетн</w:t>
      </w:r>
      <w:r w:rsidRPr="009106D3">
        <w:rPr>
          <w:b/>
        </w:rPr>
        <w:t xml:space="preserve">ая </w:t>
      </w:r>
      <w:r w:rsidR="00191CB6" w:rsidRPr="009106D3">
        <w:rPr>
          <w:b/>
        </w:rPr>
        <w:t>отчетност</w:t>
      </w:r>
      <w:r w:rsidRPr="009106D3">
        <w:rPr>
          <w:b/>
        </w:rPr>
        <w:t>ь</w:t>
      </w:r>
      <w:r w:rsidR="00191CB6" w:rsidRPr="009106D3">
        <w:rPr>
          <w:b/>
        </w:rPr>
        <w:t xml:space="preserve"> </w:t>
      </w:r>
    </w:p>
    <w:p w:rsidR="00191CB6" w:rsidRPr="009106D3" w:rsidRDefault="00191CB6" w:rsidP="00FA51DC">
      <w:pPr>
        <w:tabs>
          <w:tab w:val="left" w:pos="709"/>
        </w:tabs>
        <w:ind w:firstLine="709"/>
        <w:jc w:val="both"/>
      </w:pPr>
      <w:r w:rsidRPr="009106D3">
        <w:t xml:space="preserve">Сводная бюджетная </w:t>
      </w:r>
      <w:r w:rsidRPr="009106D3">
        <w:rPr>
          <w:bCs/>
        </w:rPr>
        <w:t xml:space="preserve">отчетность Комитета за 2019 год представлена к </w:t>
      </w:r>
      <w:r w:rsidRPr="009106D3">
        <w:t>проверке в составе, определенном ст. 264.1 БК РФ и предусмотренном Инструкцией №191н. Информация о комплектности и соответствии установленным формам бюджетной отчетности представлена в Приложении 1.</w:t>
      </w:r>
    </w:p>
    <w:p w:rsidR="00191CB6" w:rsidRPr="009106D3" w:rsidRDefault="00191CB6" w:rsidP="00FA51DC">
      <w:pPr>
        <w:pStyle w:val="a6"/>
        <w:tabs>
          <w:tab w:val="left" w:pos="709"/>
        </w:tabs>
        <w:spacing w:after="0"/>
        <w:ind w:left="0" w:firstLine="709"/>
        <w:jc w:val="both"/>
      </w:pPr>
      <w:r w:rsidRPr="009106D3">
        <w:rPr>
          <w:rFonts w:eastAsiaTheme="minorHAnsi"/>
          <w:lang w:eastAsia="en-US"/>
        </w:rPr>
        <w:t xml:space="preserve">Бюджетная отчетность Комитета за 2019 год представлена ГКУ ЦБУ в </w:t>
      </w:r>
      <w:proofErr w:type="spellStart"/>
      <w:r w:rsidRPr="009106D3">
        <w:t>Облфин</w:t>
      </w:r>
      <w:proofErr w:type="spellEnd"/>
      <w:r w:rsidRPr="009106D3">
        <w:t xml:space="preserve"> </w:t>
      </w:r>
      <w:r w:rsidRPr="009106D3">
        <w:rPr>
          <w:rFonts w:eastAsiaTheme="minorHAnsi"/>
          <w:lang w:eastAsia="en-US"/>
        </w:rPr>
        <w:t xml:space="preserve">06.02.2019 в срок, установленный </w:t>
      </w:r>
      <w:proofErr w:type="spellStart"/>
      <w:r w:rsidRPr="009106D3">
        <w:rPr>
          <w:rFonts w:eastAsiaTheme="minorHAnsi"/>
          <w:lang w:eastAsia="en-US"/>
        </w:rPr>
        <w:t>Облфином</w:t>
      </w:r>
      <w:proofErr w:type="spellEnd"/>
      <w:r w:rsidRPr="009106D3">
        <w:rPr>
          <w:rFonts w:eastAsiaTheme="minorHAnsi"/>
          <w:lang w:eastAsia="en-US"/>
        </w:rPr>
        <w:t xml:space="preserve"> (</w:t>
      </w:r>
      <w:r w:rsidRPr="009106D3">
        <w:t xml:space="preserve">Письмо от 10.01.2020 № 06-05-01-61/103). </w:t>
      </w:r>
    </w:p>
    <w:p w:rsidR="00191CB6" w:rsidRPr="009106D3" w:rsidRDefault="00191CB6" w:rsidP="00FA51DC">
      <w:pPr>
        <w:pStyle w:val="a6"/>
        <w:tabs>
          <w:tab w:val="left" w:pos="709"/>
        </w:tabs>
        <w:spacing w:after="0"/>
        <w:ind w:left="0" w:firstLine="709"/>
        <w:jc w:val="both"/>
        <w:rPr>
          <w:rStyle w:val="iceouttxt51"/>
          <w:b/>
          <w:i/>
          <w:color w:val="FF0000"/>
          <w:sz w:val="24"/>
          <w:szCs w:val="24"/>
        </w:rPr>
      </w:pPr>
      <w:r w:rsidRPr="009106D3">
        <w:t xml:space="preserve">На момент завершения контрольного мероприятия (02.03.2020) отметка </w:t>
      </w:r>
      <w:proofErr w:type="spellStart"/>
      <w:r w:rsidRPr="009106D3">
        <w:t>Облфина</w:t>
      </w:r>
      <w:proofErr w:type="spellEnd"/>
      <w:r w:rsidRPr="009106D3">
        <w:t xml:space="preserve"> о принятии у Комитета годового отчета отсутствует.</w:t>
      </w:r>
    </w:p>
    <w:p w:rsidR="00191CB6" w:rsidRPr="009106D3" w:rsidRDefault="00191CB6" w:rsidP="00FA51DC">
      <w:pPr>
        <w:tabs>
          <w:tab w:val="left" w:pos="709"/>
        </w:tabs>
        <w:ind w:firstLine="709"/>
        <w:jc w:val="both"/>
      </w:pPr>
      <w:r w:rsidRPr="009106D3">
        <w:t>Все формы отчетности подписаны руководителем Комитета, руководителем и главным бухгалтером ГКУ ЦБУ.</w:t>
      </w:r>
    </w:p>
    <w:p w:rsidR="00191CB6" w:rsidRPr="009106D3" w:rsidRDefault="003D2150" w:rsidP="00FA51DC">
      <w:pPr>
        <w:tabs>
          <w:tab w:val="left" w:pos="709"/>
        </w:tabs>
        <w:ind w:firstLine="709"/>
        <w:jc w:val="both"/>
      </w:pPr>
      <w:r w:rsidRPr="009106D3">
        <w:t xml:space="preserve">Проверкой состава и содержания бюджетной отчетности установлено 3 случая нарушения положений Инструкции № 191н при составлении 3 форм бюджетной отчетности. </w:t>
      </w:r>
      <w:r w:rsidR="00191CB6" w:rsidRPr="009106D3">
        <w:t xml:space="preserve">В </w:t>
      </w:r>
      <w:r w:rsidR="00191CB6" w:rsidRPr="009106D3">
        <w:lastRenderedPageBreak/>
        <w:t>ходе проверки Комитетом представлены исправленные формы отчетности (Письмо Комитета от 26.02.2020 № 13-01-01-01/739).</w:t>
      </w:r>
    </w:p>
    <w:p w:rsidR="003D2150" w:rsidRPr="009106D3" w:rsidRDefault="009571DE" w:rsidP="00152A02">
      <w:pPr>
        <w:pStyle w:val="a6"/>
        <w:spacing w:before="120"/>
        <w:ind w:left="0" w:firstLine="709"/>
        <w:jc w:val="center"/>
        <w:rPr>
          <w:b/>
        </w:rPr>
      </w:pPr>
      <w:r w:rsidRPr="009106D3">
        <w:rPr>
          <w:b/>
        </w:rPr>
        <w:t>Основные показатели отчетности</w:t>
      </w:r>
    </w:p>
    <w:p w:rsidR="009571DE" w:rsidRPr="009106D3" w:rsidRDefault="009571DE" w:rsidP="00152A02">
      <w:pPr>
        <w:autoSpaceDE w:val="0"/>
        <w:autoSpaceDN w:val="0"/>
        <w:adjustRightInd w:val="0"/>
        <w:spacing w:before="120" w:after="120"/>
        <w:ind w:firstLine="709"/>
        <w:jc w:val="center"/>
        <w:outlineLvl w:val="0"/>
        <w:rPr>
          <w:bCs/>
          <w:i/>
          <w:u w:val="single"/>
        </w:rPr>
      </w:pPr>
      <w:r w:rsidRPr="009106D3">
        <w:rPr>
          <w:i/>
          <w:u w:val="single"/>
        </w:rPr>
        <w:t>Исполнение доходов</w:t>
      </w:r>
    </w:p>
    <w:p w:rsidR="009571DE" w:rsidRPr="009106D3" w:rsidRDefault="009571DE" w:rsidP="003D2150">
      <w:pPr>
        <w:pStyle w:val="1"/>
        <w:spacing w:before="0" w:after="0"/>
        <w:ind w:firstLine="720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bookmarkStart w:id="0" w:name="OLE_LINK2"/>
      <w:r w:rsidRPr="009106D3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Данные об </w:t>
      </w:r>
      <w:proofErr w:type="spellStart"/>
      <w:r w:rsidRPr="009106D3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администрируемых</w:t>
      </w:r>
      <w:proofErr w:type="spellEnd"/>
      <w:r w:rsidRPr="009106D3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Комитетом доходах и фактическом поступлении за 2019 год отражены в Приложении 2.</w:t>
      </w:r>
    </w:p>
    <w:p w:rsidR="00152A02" w:rsidRPr="009106D3" w:rsidRDefault="009571DE" w:rsidP="009571DE">
      <w:pPr>
        <w:ind w:firstLine="709"/>
        <w:jc w:val="both"/>
      </w:pPr>
      <w:r w:rsidRPr="009106D3">
        <w:t xml:space="preserve">Как видно из Приложения 2, доходы исполнены в сумме 643,07 тыс. руб. или 68% от утвержденных бюджетных назначений (946,37 тыс. руб.). В разрезе источников доходов исполнение по отношению к прогнозным показателям колеблется от 55,6 % до 100 процентов. </w:t>
      </w:r>
    </w:p>
    <w:p w:rsidR="00E43CC4" w:rsidRPr="009106D3" w:rsidRDefault="00E43CC4" w:rsidP="00E43CC4">
      <w:pPr>
        <w:tabs>
          <w:tab w:val="left" w:pos="1372"/>
        </w:tabs>
        <w:autoSpaceDE w:val="0"/>
        <w:autoSpaceDN w:val="0"/>
        <w:adjustRightInd w:val="0"/>
        <w:ind w:firstLine="540"/>
        <w:jc w:val="both"/>
        <w:outlineLvl w:val="2"/>
      </w:pPr>
      <w:r w:rsidRPr="009106D3">
        <w:t xml:space="preserve">Согласно ф.0503164 «Сведения об исполнении бюджета» Комитета основными причинами отклонения кассового исполнения отдельных видов доходов от прогнозных значений являлось отсутствие поступлений денежных средств </w:t>
      </w:r>
      <w:proofErr w:type="gramStart"/>
      <w:r w:rsidRPr="009106D3">
        <w:t>от</w:t>
      </w:r>
      <w:proofErr w:type="gramEnd"/>
      <w:r w:rsidRPr="009106D3">
        <w:t xml:space="preserve">: </w:t>
      </w:r>
    </w:p>
    <w:p w:rsidR="00E43CC4" w:rsidRPr="009106D3" w:rsidRDefault="00E43CC4" w:rsidP="00E43CC4">
      <w:pPr>
        <w:tabs>
          <w:tab w:val="left" w:pos="1372"/>
        </w:tabs>
        <w:autoSpaceDE w:val="0"/>
        <w:autoSpaceDN w:val="0"/>
        <w:adjustRightInd w:val="0"/>
        <w:ind w:firstLine="709"/>
        <w:jc w:val="both"/>
        <w:outlineLvl w:val="2"/>
      </w:pPr>
      <w:r w:rsidRPr="009106D3">
        <w:t>-неиспользованных сре</w:t>
      </w:r>
      <w:proofErr w:type="gramStart"/>
      <w:r w:rsidRPr="009106D3">
        <w:t>дств гр</w:t>
      </w:r>
      <w:proofErr w:type="gramEnd"/>
      <w:r w:rsidRPr="009106D3">
        <w:t>антов, субсидий прошлых лет;</w:t>
      </w:r>
    </w:p>
    <w:p w:rsidR="00E43CC4" w:rsidRPr="009106D3" w:rsidRDefault="00E43CC4" w:rsidP="00E43CC4">
      <w:pPr>
        <w:tabs>
          <w:tab w:val="left" w:pos="709"/>
        </w:tabs>
        <w:ind w:firstLine="709"/>
        <w:jc w:val="both"/>
      </w:pPr>
      <w:r w:rsidRPr="009106D3">
        <w:t xml:space="preserve">-денежных взысканий, </w:t>
      </w:r>
      <w:r w:rsidR="00A43FC9" w:rsidRPr="009106D3">
        <w:t xml:space="preserve">поступающих в </w:t>
      </w:r>
      <w:r w:rsidRPr="009106D3">
        <w:t>возмещение ущерба, причиненного в результате незаконного или нецелевого использования бюджетных средств по результатам проведенных ревизий (проверок).</w:t>
      </w:r>
    </w:p>
    <w:p w:rsidR="00E43CC4" w:rsidRPr="009106D3" w:rsidRDefault="00E43CC4" w:rsidP="00E43CC4">
      <w:pPr>
        <w:tabs>
          <w:tab w:val="left" w:pos="709"/>
        </w:tabs>
        <w:ind w:firstLine="709"/>
        <w:jc w:val="both"/>
      </w:pPr>
      <w:r w:rsidRPr="009106D3">
        <w:t>По мнению КСП</w:t>
      </w:r>
      <w:r w:rsidR="00033BB5" w:rsidRPr="009106D3">
        <w:t>,</w:t>
      </w:r>
      <w:r w:rsidRPr="009106D3">
        <w:t xml:space="preserve"> указанные пояснения причин отклонений не обоснованны, так как по состоянию на 01.10.2019 исполнение по доходам составляло 515,3 тыс.</w:t>
      </w:r>
      <w:r w:rsidR="00C848F1" w:rsidRPr="009106D3">
        <w:t xml:space="preserve"> </w:t>
      </w:r>
      <w:r w:rsidRPr="009106D3">
        <w:t>руб.</w:t>
      </w:r>
      <w:r w:rsidR="006A5C95" w:rsidRPr="009106D3">
        <w:t>,</w:t>
      </w:r>
      <w:r w:rsidRPr="009106D3">
        <w:t xml:space="preserve"> или 54,6 %, </w:t>
      </w:r>
      <w:r w:rsidR="00AA4C76" w:rsidRPr="009106D3">
        <w:t xml:space="preserve">что </w:t>
      </w:r>
      <w:r w:rsidRPr="009106D3">
        <w:t>позволяло Комитету направить в адрес комитета финансов Волгоградской области предложение об уточнении бюджетных назначений по доходам на 2019 год.</w:t>
      </w:r>
      <w:r w:rsidR="00AA4C76" w:rsidRPr="009106D3">
        <w:t xml:space="preserve"> Однако Комитетом меры по уточнению бюджетных назначений по доходам не были приняты.</w:t>
      </w:r>
    </w:p>
    <w:p w:rsidR="00E43CC4" w:rsidRPr="009106D3" w:rsidRDefault="00E632B8" w:rsidP="00E632B8">
      <w:pPr>
        <w:ind w:firstLine="709"/>
        <w:jc w:val="both"/>
      </w:pPr>
      <w:r w:rsidRPr="009106D3">
        <w:t xml:space="preserve">В соответствии </w:t>
      </w:r>
      <w:r w:rsidRPr="009106D3">
        <w:rPr>
          <w:snapToGrid w:val="0"/>
        </w:rPr>
        <w:t xml:space="preserve">со </w:t>
      </w:r>
      <w:r w:rsidR="006A5C95" w:rsidRPr="009106D3">
        <w:rPr>
          <w:snapToGrid w:val="0"/>
        </w:rPr>
        <w:t>Стандартом финансового контроля КСП</w:t>
      </w:r>
      <w:r w:rsidRPr="009106D3">
        <w:rPr>
          <w:snapToGrid w:val="0"/>
        </w:rPr>
        <w:t xml:space="preserve">, </w:t>
      </w:r>
      <w:r w:rsidRPr="009106D3">
        <w:t xml:space="preserve">отклонение прогнозных и фактических поступлений, превосходящее 10 % как в </w:t>
      </w:r>
      <w:proofErr w:type="gramStart"/>
      <w:r w:rsidRPr="009106D3">
        <w:t>положительную</w:t>
      </w:r>
      <w:proofErr w:type="gramEnd"/>
      <w:r w:rsidRPr="009106D3">
        <w:t xml:space="preserve"> так и в отрицательную сторону, полученное при анализе результата, следует расценивать как некачественное планирование. </w:t>
      </w:r>
    </w:p>
    <w:bookmarkEnd w:id="0"/>
    <w:p w:rsidR="0062377E" w:rsidRPr="009106D3" w:rsidRDefault="0062377E" w:rsidP="00152A02">
      <w:pPr>
        <w:tabs>
          <w:tab w:val="left" w:pos="709"/>
        </w:tabs>
        <w:spacing w:before="120" w:after="120"/>
        <w:ind w:firstLine="709"/>
        <w:jc w:val="center"/>
        <w:rPr>
          <w:i/>
          <w:u w:val="single"/>
        </w:rPr>
      </w:pPr>
      <w:r w:rsidRPr="009106D3">
        <w:rPr>
          <w:i/>
          <w:u w:val="single"/>
        </w:rPr>
        <w:t>Исполнение расходов</w:t>
      </w:r>
    </w:p>
    <w:p w:rsidR="0062377E" w:rsidRPr="009106D3" w:rsidRDefault="0062377E" w:rsidP="0062377E">
      <w:pPr>
        <w:ind w:firstLine="709"/>
        <w:jc w:val="both"/>
      </w:pPr>
      <w:r w:rsidRPr="009106D3">
        <w:t>Законом об областном бюджете Комитету на 2019 год предусмотрены расх</w:t>
      </w:r>
      <w:r w:rsidR="006A5C95" w:rsidRPr="009106D3">
        <w:t xml:space="preserve">оды в сумме 375561,6  тыс. </w:t>
      </w:r>
      <w:r w:rsidRPr="009106D3">
        <w:t xml:space="preserve">рублей. </w:t>
      </w:r>
    </w:p>
    <w:p w:rsidR="0062377E" w:rsidRPr="009106D3" w:rsidRDefault="0062377E" w:rsidP="0062377E">
      <w:pPr>
        <w:autoSpaceDE w:val="0"/>
        <w:autoSpaceDN w:val="0"/>
        <w:adjustRightInd w:val="0"/>
        <w:ind w:firstLine="567"/>
        <w:jc w:val="both"/>
      </w:pPr>
      <w:r w:rsidRPr="009106D3">
        <w:t xml:space="preserve">Согласно бюджетной росписи и отчету об исполнении бюджета (ф.0305127) бюджетные назначения составили 339058,3 тыс. руб., или на 36503,3 тыс. руб. (10 %) меньше утвержденного Законом об областном бюджете. </w:t>
      </w:r>
    </w:p>
    <w:p w:rsidR="00E632B8" w:rsidRPr="009106D3" w:rsidRDefault="0062377E" w:rsidP="0062377E">
      <w:pPr>
        <w:autoSpaceDE w:val="0"/>
        <w:autoSpaceDN w:val="0"/>
        <w:adjustRightInd w:val="0"/>
        <w:ind w:firstLine="567"/>
        <w:jc w:val="both"/>
      </w:pPr>
      <w:proofErr w:type="gramStart"/>
      <w:r w:rsidRPr="009106D3">
        <w:t xml:space="preserve">Согласно данным ф.0305163 «Сведения об изменениях бюджетной росписи главного распорядителя бюджетных средств» </w:t>
      </w:r>
      <w:r w:rsidR="00E632B8" w:rsidRPr="009106D3">
        <w:t xml:space="preserve">ассигнования </w:t>
      </w:r>
      <w:r w:rsidR="00DD4FF4" w:rsidRPr="009106D3">
        <w:t xml:space="preserve">на 2019 год в сводной бюджетной </w:t>
      </w:r>
      <w:r w:rsidRPr="009106D3">
        <w:t>роспис</w:t>
      </w:r>
      <w:r w:rsidR="00DD4FF4" w:rsidRPr="009106D3">
        <w:t>и</w:t>
      </w:r>
      <w:r w:rsidR="00186C61" w:rsidRPr="009106D3">
        <w:t xml:space="preserve"> уменьшены </w:t>
      </w:r>
      <w:r w:rsidR="00DD4FF4" w:rsidRPr="009106D3">
        <w:t xml:space="preserve">без внесения изменений в Закон Волгоградской области от 01.12.2018 №134-ОД «Об областном бюджете на 2019 год и на плановый период 2020 и 2021 годов» (далее Закон об областном бюджете) </w:t>
      </w:r>
      <w:r w:rsidR="00E632B8" w:rsidRPr="009106D3">
        <w:t>в связи с экономией средств, предусмотренных Комитету</w:t>
      </w:r>
      <w:r w:rsidR="00DD4FF4" w:rsidRPr="009106D3">
        <w:t>,</w:t>
      </w:r>
      <w:r w:rsidR="00E632B8" w:rsidRPr="009106D3">
        <w:t xml:space="preserve"> на:</w:t>
      </w:r>
      <w:proofErr w:type="gramEnd"/>
    </w:p>
    <w:p w:rsidR="00E632B8" w:rsidRPr="009106D3" w:rsidRDefault="00E632B8" w:rsidP="00E632B8">
      <w:pPr>
        <w:autoSpaceDE w:val="0"/>
        <w:autoSpaceDN w:val="0"/>
        <w:adjustRightInd w:val="0"/>
        <w:ind w:firstLine="567"/>
        <w:jc w:val="both"/>
      </w:pPr>
      <w:proofErr w:type="gramStart"/>
      <w:r w:rsidRPr="009106D3">
        <w:t>-предоставление субсидии на финансовое обеспечение затрат, связанных с обеспечением распространения обязательного общедоступного телеканала Волгоградской области с использованием сетей спутникового телерадиовещания (24387,6 тыс.</w:t>
      </w:r>
      <w:r w:rsidR="00CD0E3B" w:rsidRPr="009106D3">
        <w:t xml:space="preserve"> </w:t>
      </w:r>
      <w:r w:rsidRPr="009106D3">
        <w:t>руб.) и на реализацию мероприятий, посвященных международным, общероссийским, региональным памятным и праздничным датам, юбилеям некоммерческих организаций, проводимых с участием общественных организаций и первых лиц Волгоградской области (</w:t>
      </w:r>
      <w:r w:rsidR="00E24D30" w:rsidRPr="009106D3">
        <w:t>279</w:t>
      </w:r>
      <w:r w:rsidR="00DD4FF4" w:rsidRPr="009106D3">
        <w:t xml:space="preserve"> тыс.</w:t>
      </w:r>
      <w:r w:rsidR="00CD0E3B" w:rsidRPr="009106D3">
        <w:t xml:space="preserve"> </w:t>
      </w:r>
      <w:r w:rsidR="00DD4FF4" w:rsidRPr="009106D3">
        <w:t>руб.).</w:t>
      </w:r>
      <w:proofErr w:type="gramEnd"/>
      <w:r w:rsidR="00DD4FF4" w:rsidRPr="009106D3">
        <w:t xml:space="preserve"> Б</w:t>
      </w:r>
      <w:r w:rsidRPr="009106D3">
        <w:t xml:space="preserve">юджетные ассигнования перераспределены между текущим финансовым годом и плановым периодом </w:t>
      </w:r>
      <w:r w:rsidR="00DD4FF4" w:rsidRPr="009106D3">
        <w:t xml:space="preserve">в соответствии с </w:t>
      </w:r>
      <w:r w:rsidRPr="009106D3">
        <w:t xml:space="preserve">абз.7 и 8. ст.48 Закона </w:t>
      </w:r>
      <w:bookmarkStart w:id="1" w:name="OLE_LINK1"/>
      <w:r w:rsidRPr="009106D3">
        <w:t>об областном бюджете</w:t>
      </w:r>
      <w:bookmarkEnd w:id="1"/>
      <w:r w:rsidRPr="009106D3">
        <w:t>;</w:t>
      </w:r>
    </w:p>
    <w:p w:rsidR="00E632B8" w:rsidRPr="009106D3" w:rsidRDefault="00E632B8" w:rsidP="00DD4FF4">
      <w:pPr>
        <w:autoSpaceDE w:val="0"/>
        <w:autoSpaceDN w:val="0"/>
        <w:adjustRightInd w:val="0"/>
        <w:ind w:firstLine="567"/>
        <w:jc w:val="both"/>
      </w:pPr>
      <w:r w:rsidRPr="009106D3">
        <w:t>-</w:t>
      </w:r>
      <w:r w:rsidR="00DD4FF4" w:rsidRPr="009106D3">
        <w:t>на информирование населения Волгоградской области о реализации приоритетных направлений социально-экономического развития (11836,7 тыс</w:t>
      </w:r>
      <w:proofErr w:type="gramStart"/>
      <w:r w:rsidR="00DD4FF4" w:rsidRPr="009106D3">
        <w:t>.р</w:t>
      </w:r>
      <w:proofErr w:type="gramEnd"/>
      <w:r w:rsidR="00DD4FF4" w:rsidRPr="009106D3">
        <w:t xml:space="preserve">уб.), бюджетные ассигнования перераспределены между </w:t>
      </w:r>
      <w:r w:rsidR="00DD4FF4" w:rsidRPr="009106D3">
        <w:rPr>
          <w:rFonts w:eastAsiaTheme="minorHAnsi"/>
          <w:lang w:eastAsia="en-US"/>
        </w:rPr>
        <w:t xml:space="preserve">главными распорядителями бюджетных средств </w:t>
      </w:r>
      <w:r w:rsidR="00DD4FF4" w:rsidRPr="009106D3">
        <w:t>в соответствии с абз.7 ст.48 Закона об областном бюджете.</w:t>
      </w:r>
    </w:p>
    <w:p w:rsidR="0062377E" w:rsidRPr="009106D3" w:rsidRDefault="00DD4FF4" w:rsidP="00033BB5">
      <w:pPr>
        <w:autoSpaceDE w:val="0"/>
        <w:autoSpaceDN w:val="0"/>
        <w:adjustRightInd w:val="0"/>
        <w:jc w:val="both"/>
      </w:pPr>
      <w:r w:rsidRPr="009106D3">
        <w:tab/>
      </w:r>
      <w:r w:rsidR="0062377E" w:rsidRPr="009106D3">
        <w:t xml:space="preserve">Исполнение кассовых расходов составило 334968,2 тыс. руб., или 98,8% от </w:t>
      </w:r>
      <w:r w:rsidR="00152A02" w:rsidRPr="009106D3">
        <w:t xml:space="preserve">бюджетных назначений по </w:t>
      </w:r>
      <w:r w:rsidR="00D7265E" w:rsidRPr="009106D3">
        <w:t>бюджетной росписи</w:t>
      </w:r>
      <w:r w:rsidR="0062377E" w:rsidRPr="009106D3">
        <w:t>. Анализ исполнения бюджетных назначений Комитета представлен в Приложении 3.</w:t>
      </w:r>
    </w:p>
    <w:p w:rsidR="0062377E" w:rsidRPr="009106D3" w:rsidRDefault="0062377E" w:rsidP="0062377E">
      <w:pPr>
        <w:ind w:firstLine="720"/>
        <w:jc w:val="both"/>
      </w:pPr>
      <w:r w:rsidRPr="009106D3">
        <w:lastRenderedPageBreak/>
        <w:t xml:space="preserve">Общая сумма неисполненных назначений на 01.01.2020 составила </w:t>
      </w:r>
      <w:r w:rsidRPr="005C2233">
        <w:t>4090,1 тыс. руб.,</w:t>
      </w:r>
      <w:r w:rsidRPr="009106D3">
        <w:t xml:space="preserve"> или 1,2 % от утвержденных бюджетных назначений (339058,3 тыс. руб.), и сложилась в объеме более 5 % по подразделам:</w:t>
      </w:r>
    </w:p>
    <w:p w:rsidR="0062377E" w:rsidRPr="009106D3" w:rsidRDefault="0062377E" w:rsidP="0062377E">
      <w:pPr>
        <w:ind w:firstLine="720"/>
        <w:jc w:val="both"/>
      </w:pPr>
      <w:r w:rsidRPr="009106D3">
        <w:t>-0113 «Другие общегосударственные вопросы» в связи с возвратом на счет Комитета из-за неверно указанных реквизитов получателя денежных сре</w:t>
      </w:r>
      <w:proofErr w:type="gramStart"/>
      <w:r w:rsidRPr="009106D3">
        <w:t>дств в р</w:t>
      </w:r>
      <w:proofErr w:type="gramEnd"/>
      <w:r w:rsidRPr="009106D3">
        <w:t>азмере 300 тыс. руб.;</w:t>
      </w:r>
    </w:p>
    <w:p w:rsidR="0062377E" w:rsidRPr="009106D3" w:rsidRDefault="0062377E" w:rsidP="0062377E">
      <w:pPr>
        <w:ind w:firstLine="720"/>
        <w:jc w:val="both"/>
      </w:pPr>
      <w:r w:rsidRPr="009106D3">
        <w:t>-1006 «Другие вопросы в области социальной политики» в связи с оплатой работ «по факту» на основании актов выполненных работ в сумме 562,7 тыс. рублей.</w:t>
      </w:r>
    </w:p>
    <w:p w:rsidR="0062377E" w:rsidRPr="009106D3" w:rsidRDefault="0062377E" w:rsidP="0062377E">
      <w:pPr>
        <w:ind w:firstLine="720"/>
        <w:jc w:val="both"/>
      </w:pPr>
      <w:r w:rsidRPr="009106D3">
        <w:t xml:space="preserve">Сравнение показателей исполнения расходов областного бюджета за отчетный и предыдущий годы в разрезе разделов и подразделов бюджетной классификации отражены в таблице </w:t>
      </w:r>
      <w:r w:rsidR="00784EE2" w:rsidRPr="009106D3">
        <w:t>1</w:t>
      </w:r>
      <w:r w:rsidRPr="009106D3">
        <w:t xml:space="preserve">.  </w:t>
      </w:r>
    </w:p>
    <w:p w:rsidR="0062377E" w:rsidRPr="009106D3" w:rsidRDefault="0062377E" w:rsidP="0062377E">
      <w:pPr>
        <w:ind w:firstLine="720"/>
        <w:jc w:val="right"/>
      </w:pPr>
      <w:r w:rsidRPr="009106D3">
        <w:t xml:space="preserve">Таблица </w:t>
      </w:r>
      <w:r w:rsidR="00784EE2" w:rsidRPr="009106D3">
        <w:t>1</w:t>
      </w:r>
      <w:r w:rsidRPr="009106D3">
        <w:t>, тыс. руб.</w:t>
      </w:r>
    </w:p>
    <w:tbl>
      <w:tblPr>
        <w:tblW w:w="9938" w:type="dxa"/>
        <w:tblInd w:w="93" w:type="dxa"/>
        <w:tblLayout w:type="fixed"/>
        <w:tblLook w:val="04A0"/>
      </w:tblPr>
      <w:tblGrid>
        <w:gridCol w:w="441"/>
        <w:gridCol w:w="425"/>
        <w:gridCol w:w="4111"/>
        <w:gridCol w:w="1275"/>
        <w:gridCol w:w="1134"/>
        <w:gridCol w:w="1276"/>
        <w:gridCol w:w="1276"/>
      </w:tblGrid>
      <w:tr w:rsidR="0062377E" w:rsidRPr="009106D3" w:rsidTr="00C105F3">
        <w:trPr>
          <w:trHeight w:val="54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377E" w:rsidRPr="009106D3" w:rsidRDefault="0062377E" w:rsidP="00061774">
            <w:pPr>
              <w:jc w:val="center"/>
              <w:rPr>
                <w:b/>
                <w:bCs/>
                <w:sz w:val="18"/>
                <w:szCs w:val="18"/>
              </w:rPr>
            </w:pPr>
            <w:r w:rsidRPr="009106D3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377E" w:rsidRPr="009106D3" w:rsidRDefault="0062377E" w:rsidP="00061774">
            <w:pPr>
              <w:jc w:val="center"/>
              <w:rPr>
                <w:b/>
                <w:bCs/>
                <w:sz w:val="18"/>
                <w:szCs w:val="18"/>
              </w:rPr>
            </w:pPr>
            <w:r w:rsidRPr="009106D3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62377E" w:rsidP="00061774">
            <w:pPr>
              <w:jc w:val="center"/>
              <w:rPr>
                <w:b/>
                <w:bCs/>
                <w:sz w:val="18"/>
                <w:szCs w:val="18"/>
              </w:rPr>
            </w:pPr>
            <w:r w:rsidRPr="009106D3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7E" w:rsidRPr="009106D3" w:rsidRDefault="0062377E" w:rsidP="00061774">
            <w:pPr>
              <w:jc w:val="center"/>
              <w:rPr>
                <w:b/>
                <w:bCs/>
                <w:sz w:val="18"/>
                <w:szCs w:val="18"/>
              </w:rPr>
            </w:pPr>
            <w:r w:rsidRPr="009106D3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7E" w:rsidRPr="009106D3" w:rsidRDefault="0062377E" w:rsidP="00061774">
            <w:pPr>
              <w:jc w:val="center"/>
              <w:rPr>
                <w:b/>
                <w:bCs/>
                <w:sz w:val="18"/>
                <w:szCs w:val="18"/>
              </w:rPr>
            </w:pPr>
            <w:r w:rsidRPr="009106D3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7E" w:rsidRPr="009106D3" w:rsidRDefault="0062377E" w:rsidP="00061774">
            <w:pPr>
              <w:jc w:val="center"/>
              <w:rPr>
                <w:b/>
                <w:bCs/>
                <w:sz w:val="18"/>
                <w:szCs w:val="18"/>
              </w:rPr>
            </w:pPr>
            <w:r w:rsidRPr="009106D3">
              <w:rPr>
                <w:b/>
                <w:bCs/>
                <w:sz w:val="18"/>
                <w:szCs w:val="18"/>
              </w:rPr>
              <w:t>Увеличение, снижение</w:t>
            </w:r>
            <w:proofErr w:type="gramStart"/>
            <w:r w:rsidRPr="009106D3">
              <w:rPr>
                <w:b/>
                <w:bCs/>
                <w:sz w:val="18"/>
                <w:szCs w:val="18"/>
              </w:rPr>
              <w:t xml:space="preserve"> (-)</w:t>
            </w:r>
            <w:proofErr w:type="gramEnd"/>
          </w:p>
        </w:tc>
      </w:tr>
      <w:tr w:rsidR="0062377E" w:rsidRPr="009106D3" w:rsidTr="00C105F3">
        <w:trPr>
          <w:trHeight w:val="46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E" w:rsidRPr="009106D3" w:rsidRDefault="0062377E" w:rsidP="000617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E" w:rsidRPr="009106D3" w:rsidRDefault="0062377E" w:rsidP="000617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77E" w:rsidRPr="009106D3" w:rsidRDefault="0062377E" w:rsidP="000617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E" w:rsidRPr="009106D3" w:rsidRDefault="0062377E" w:rsidP="000617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E" w:rsidRPr="009106D3" w:rsidRDefault="0062377E" w:rsidP="000617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62377E" w:rsidP="00061774">
            <w:pPr>
              <w:jc w:val="center"/>
              <w:rPr>
                <w:b/>
                <w:bCs/>
                <w:sz w:val="18"/>
                <w:szCs w:val="18"/>
              </w:rPr>
            </w:pPr>
            <w:r w:rsidRPr="009106D3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62377E" w:rsidP="00061774">
            <w:pPr>
              <w:jc w:val="center"/>
              <w:rPr>
                <w:b/>
                <w:bCs/>
                <w:sz w:val="18"/>
                <w:szCs w:val="18"/>
              </w:rPr>
            </w:pPr>
            <w:r w:rsidRPr="009106D3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62377E" w:rsidRPr="009106D3" w:rsidTr="00C105F3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62377E" w:rsidP="00061774">
            <w:pPr>
              <w:jc w:val="center"/>
              <w:rPr>
                <w:b/>
                <w:bCs/>
                <w:sz w:val="20"/>
                <w:szCs w:val="20"/>
              </w:rPr>
            </w:pPr>
            <w:r w:rsidRPr="009106D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7C3653" w:rsidP="00061774">
            <w:pPr>
              <w:rPr>
                <w:b/>
                <w:bCs/>
                <w:sz w:val="20"/>
                <w:szCs w:val="20"/>
              </w:rPr>
            </w:pPr>
            <w:r w:rsidRPr="009106D3">
              <w:rPr>
                <w:b/>
                <w:bCs/>
                <w:sz w:val="20"/>
                <w:szCs w:val="20"/>
              </w:rPr>
              <w:t>305</w:t>
            </w:r>
            <w:r w:rsidR="0062377E" w:rsidRPr="009106D3">
              <w:rPr>
                <w:b/>
                <w:bCs/>
                <w:sz w:val="20"/>
                <w:szCs w:val="20"/>
              </w:rPr>
              <w:t>816,4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62377E" w:rsidP="007C3653">
            <w:pPr>
              <w:rPr>
                <w:b/>
                <w:bCs/>
                <w:sz w:val="20"/>
                <w:szCs w:val="20"/>
              </w:rPr>
            </w:pPr>
            <w:r w:rsidRPr="009106D3">
              <w:rPr>
                <w:b/>
                <w:bCs/>
                <w:sz w:val="20"/>
                <w:szCs w:val="20"/>
              </w:rPr>
              <w:t>334968,2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62377E" w:rsidP="007C3653">
            <w:pPr>
              <w:jc w:val="center"/>
              <w:rPr>
                <w:b/>
                <w:bCs/>
                <w:sz w:val="20"/>
                <w:szCs w:val="20"/>
              </w:rPr>
            </w:pPr>
            <w:r w:rsidRPr="009106D3">
              <w:rPr>
                <w:b/>
                <w:bCs/>
                <w:sz w:val="20"/>
                <w:szCs w:val="20"/>
              </w:rPr>
              <w:t>29151,8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62377E" w:rsidP="00061774">
            <w:pPr>
              <w:jc w:val="center"/>
              <w:rPr>
                <w:b/>
                <w:bCs/>
                <w:sz w:val="20"/>
                <w:szCs w:val="20"/>
              </w:rPr>
            </w:pPr>
            <w:r w:rsidRPr="009106D3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62377E" w:rsidRPr="009106D3" w:rsidTr="00C105F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62377E" w:rsidP="00061774">
            <w:pPr>
              <w:rPr>
                <w:sz w:val="20"/>
                <w:szCs w:val="20"/>
              </w:rPr>
            </w:pPr>
            <w:r w:rsidRPr="009106D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62377E" w:rsidP="00061774">
            <w:pPr>
              <w:rPr>
                <w:sz w:val="20"/>
                <w:szCs w:val="20"/>
              </w:rPr>
            </w:pPr>
            <w:r w:rsidRPr="009106D3">
              <w:rPr>
                <w:sz w:val="20"/>
                <w:szCs w:val="20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62377E" w:rsidP="00061774">
            <w:pPr>
              <w:rPr>
                <w:sz w:val="18"/>
                <w:szCs w:val="18"/>
              </w:rPr>
            </w:pPr>
            <w:r w:rsidRPr="009106D3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62377E" w:rsidP="007C3653">
            <w:pPr>
              <w:rPr>
                <w:i/>
                <w:sz w:val="20"/>
                <w:szCs w:val="20"/>
              </w:rPr>
            </w:pPr>
            <w:r w:rsidRPr="009106D3">
              <w:rPr>
                <w:i/>
                <w:sz w:val="20"/>
                <w:szCs w:val="20"/>
              </w:rPr>
              <w:t>173555,1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62377E" w:rsidP="007C3653">
            <w:pPr>
              <w:rPr>
                <w:i/>
                <w:sz w:val="20"/>
                <w:szCs w:val="20"/>
              </w:rPr>
            </w:pPr>
            <w:r w:rsidRPr="009106D3">
              <w:rPr>
                <w:i/>
                <w:sz w:val="20"/>
                <w:szCs w:val="20"/>
              </w:rPr>
              <w:t>184451,7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62377E" w:rsidP="007C3653">
            <w:pPr>
              <w:jc w:val="center"/>
              <w:rPr>
                <w:bCs/>
                <w:i/>
                <w:sz w:val="20"/>
                <w:szCs w:val="20"/>
              </w:rPr>
            </w:pPr>
            <w:r w:rsidRPr="009106D3">
              <w:rPr>
                <w:bCs/>
                <w:i/>
                <w:sz w:val="20"/>
                <w:szCs w:val="20"/>
              </w:rPr>
              <w:t>10896,6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62377E" w:rsidP="00061774">
            <w:pPr>
              <w:jc w:val="center"/>
              <w:rPr>
                <w:bCs/>
                <w:i/>
                <w:sz w:val="20"/>
                <w:szCs w:val="20"/>
              </w:rPr>
            </w:pPr>
            <w:r w:rsidRPr="009106D3">
              <w:rPr>
                <w:bCs/>
                <w:i/>
                <w:sz w:val="20"/>
                <w:szCs w:val="20"/>
              </w:rPr>
              <w:t>6,3</w:t>
            </w:r>
          </w:p>
        </w:tc>
      </w:tr>
      <w:tr w:rsidR="0062377E" w:rsidRPr="009106D3" w:rsidTr="00C105F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62377E" w:rsidP="00061774">
            <w:pPr>
              <w:rPr>
                <w:sz w:val="20"/>
                <w:szCs w:val="20"/>
              </w:rPr>
            </w:pPr>
            <w:r w:rsidRPr="009106D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62377E" w:rsidP="00061774">
            <w:pPr>
              <w:rPr>
                <w:sz w:val="20"/>
                <w:szCs w:val="20"/>
              </w:rPr>
            </w:pPr>
            <w:r w:rsidRPr="009106D3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62377E" w:rsidP="00061774">
            <w:pPr>
              <w:rPr>
                <w:sz w:val="18"/>
                <w:szCs w:val="18"/>
              </w:rPr>
            </w:pPr>
            <w:r w:rsidRPr="009106D3">
              <w:rPr>
                <w:bCs/>
                <w:sz w:val="18"/>
                <w:szCs w:val="18"/>
              </w:rPr>
              <w:t>Связь и информатика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7C3653" w:rsidP="00061774">
            <w:pPr>
              <w:rPr>
                <w:i/>
                <w:sz w:val="20"/>
                <w:szCs w:val="20"/>
              </w:rPr>
            </w:pPr>
            <w:r w:rsidRPr="009106D3">
              <w:rPr>
                <w:i/>
                <w:sz w:val="20"/>
                <w:szCs w:val="20"/>
              </w:rPr>
              <w:t>27</w:t>
            </w:r>
            <w:r w:rsidR="0062377E" w:rsidRPr="009106D3">
              <w:rPr>
                <w:i/>
                <w:sz w:val="20"/>
                <w:szCs w:val="20"/>
              </w:rPr>
              <w:t>148,9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62377E" w:rsidP="007C3653">
            <w:pPr>
              <w:rPr>
                <w:i/>
                <w:sz w:val="20"/>
                <w:szCs w:val="20"/>
              </w:rPr>
            </w:pPr>
            <w:r w:rsidRPr="009106D3">
              <w:rPr>
                <w:i/>
                <w:sz w:val="20"/>
                <w:szCs w:val="20"/>
              </w:rPr>
              <w:t>38126,1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62377E" w:rsidP="007C3653">
            <w:pPr>
              <w:jc w:val="center"/>
              <w:rPr>
                <w:bCs/>
                <w:i/>
                <w:sz w:val="20"/>
                <w:szCs w:val="20"/>
              </w:rPr>
            </w:pPr>
            <w:r w:rsidRPr="009106D3">
              <w:rPr>
                <w:bCs/>
                <w:i/>
                <w:sz w:val="20"/>
                <w:szCs w:val="20"/>
              </w:rPr>
              <w:t>10977,2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62377E" w:rsidP="00061774">
            <w:pPr>
              <w:jc w:val="center"/>
              <w:rPr>
                <w:bCs/>
                <w:i/>
                <w:sz w:val="20"/>
                <w:szCs w:val="20"/>
              </w:rPr>
            </w:pPr>
            <w:r w:rsidRPr="009106D3">
              <w:rPr>
                <w:bCs/>
                <w:i/>
                <w:sz w:val="20"/>
                <w:szCs w:val="20"/>
              </w:rPr>
              <w:t>40,4</w:t>
            </w:r>
          </w:p>
        </w:tc>
      </w:tr>
      <w:tr w:rsidR="0062377E" w:rsidRPr="009106D3" w:rsidTr="00C105F3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62377E" w:rsidP="00061774">
            <w:pPr>
              <w:rPr>
                <w:sz w:val="20"/>
                <w:szCs w:val="20"/>
              </w:rPr>
            </w:pPr>
            <w:r w:rsidRPr="009106D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62377E" w:rsidP="00061774">
            <w:pPr>
              <w:rPr>
                <w:sz w:val="20"/>
                <w:szCs w:val="20"/>
              </w:rPr>
            </w:pPr>
            <w:r w:rsidRPr="009106D3">
              <w:rPr>
                <w:sz w:val="20"/>
                <w:szCs w:val="20"/>
              </w:rPr>
              <w:t>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7E" w:rsidRPr="009106D3" w:rsidRDefault="0062377E" w:rsidP="00061774">
            <w:pPr>
              <w:rPr>
                <w:sz w:val="18"/>
                <w:szCs w:val="18"/>
              </w:rPr>
            </w:pPr>
            <w:r w:rsidRPr="009106D3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62377E" w:rsidP="00061774">
            <w:pPr>
              <w:rPr>
                <w:i/>
                <w:sz w:val="20"/>
                <w:szCs w:val="20"/>
              </w:rPr>
            </w:pPr>
            <w:r w:rsidRPr="009106D3">
              <w:rPr>
                <w:i/>
                <w:sz w:val="20"/>
                <w:szCs w:val="20"/>
              </w:rPr>
              <w:t>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62377E" w:rsidP="00061774">
            <w:pPr>
              <w:rPr>
                <w:i/>
                <w:sz w:val="20"/>
                <w:szCs w:val="20"/>
              </w:rPr>
            </w:pPr>
            <w:r w:rsidRPr="009106D3">
              <w:rPr>
                <w:i/>
                <w:sz w:val="20"/>
                <w:szCs w:val="20"/>
              </w:rPr>
              <w:t>488,4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62377E" w:rsidP="00061774">
            <w:pPr>
              <w:jc w:val="center"/>
              <w:rPr>
                <w:bCs/>
                <w:i/>
                <w:sz w:val="20"/>
                <w:szCs w:val="20"/>
              </w:rPr>
            </w:pPr>
            <w:r w:rsidRPr="009106D3">
              <w:rPr>
                <w:bCs/>
                <w:i/>
                <w:sz w:val="20"/>
                <w:szCs w:val="20"/>
              </w:rPr>
              <w:t>- 425,4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62377E" w:rsidP="00061774">
            <w:pPr>
              <w:jc w:val="center"/>
              <w:rPr>
                <w:bCs/>
                <w:i/>
                <w:sz w:val="20"/>
                <w:szCs w:val="20"/>
              </w:rPr>
            </w:pPr>
            <w:r w:rsidRPr="009106D3">
              <w:rPr>
                <w:bCs/>
                <w:i/>
                <w:sz w:val="20"/>
                <w:szCs w:val="20"/>
              </w:rPr>
              <w:t>- 46,6</w:t>
            </w:r>
          </w:p>
        </w:tc>
      </w:tr>
      <w:tr w:rsidR="0062377E" w:rsidRPr="009106D3" w:rsidTr="00C105F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62377E" w:rsidP="00061774">
            <w:pPr>
              <w:rPr>
                <w:sz w:val="20"/>
                <w:szCs w:val="20"/>
              </w:rPr>
            </w:pPr>
            <w:r w:rsidRPr="009106D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62377E" w:rsidP="00061774">
            <w:pPr>
              <w:rPr>
                <w:sz w:val="20"/>
                <w:szCs w:val="20"/>
              </w:rPr>
            </w:pPr>
            <w:r w:rsidRPr="009106D3">
              <w:rPr>
                <w:sz w:val="20"/>
                <w:szCs w:val="20"/>
              </w:rPr>
              <w:t>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62377E" w:rsidP="00061774">
            <w:pPr>
              <w:rPr>
                <w:sz w:val="18"/>
                <w:szCs w:val="18"/>
              </w:rPr>
            </w:pPr>
            <w:r w:rsidRPr="009106D3">
              <w:rPr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7C3653" w:rsidP="00061774">
            <w:pPr>
              <w:rPr>
                <w:i/>
                <w:sz w:val="20"/>
                <w:szCs w:val="20"/>
              </w:rPr>
            </w:pPr>
            <w:r w:rsidRPr="009106D3">
              <w:rPr>
                <w:i/>
                <w:sz w:val="20"/>
                <w:szCs w:val="20"/>
              </w:rPr>
              <w:t>1</w:t>
            </w:r>
            <w:r w:rsidR="0062377E" w:rsidRPr="009106D3">
              <w:rPr>
                <w:i/>
                <w:sz w:val="20"/>
                <w:szCs w:val="20"/>
              </w:rPr>
              <w:t xml:space="preserve"> 648,6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62377E" w:rsidP="007C3653">
            <w:pPr>
              <w:rPr>
                <w:i/>
                <w:sz w:val="20"/>
                <w:szCs w:val="20"/>
              </w:rPr>
            </w:pPr>
            <w:r w:rsidRPr="009106D3">
              <w:rPr>
                <w:i/>
                <w:sz w:val="20"/>
                <w:szCs w:val="20"/>
              </w:rPr>
              <w:t>10752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62377E" w:rsidP="00061774">
            <w:pPr>
              <w:jc w:val="center"/>
              <w:rPr>
                <w:bCs/>
                <w:i/>
                <w:sz w:val="20"/>
                <w:szCs w:val="20"/>
              </w:rPr>
            </w:pPr>
            <w:r w:rsidRPr="009106D3">
              <w:rPr>
                <w:bCs/>
                <w:i/>
                <w:sz w:val="20"/>
                <w:szCs w:val="20"/>
              </w:rPr>
              <w:t>- 896,6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62377E" w:rsidP="00061774">
            <w:pPr>
              <w:jc w:val="center"/>
              <w:rPr>
                <w:bCs/>
                <w:i/>
                <w:sz w:val="20"/>
                <w:szCs w:val="20"/>
              </w:rPr>
            </w:pPr>
            <w:r w:rsidRPr="009106D3">
              <w:rPr>
                <w:bCs/>
                <w:i/>
                <w:sz w:val="20"/>
                <w:szCs w:val="20"/>
              </w:rPr>
              <w:t>- 7,7</w:t>
            </w:r>
          </w:p>
        </w:tc>
      </w:tr>
      <w:tr w:rsidR="0062377E" w:rsidRPr="009106D3" w:rsidTr="00C105F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62377E" w:rsidP="00061774">
            <w:pPr>
              <w:rPr>
                <w:sz w:val="20"/>
                <w:szCs w:val="20"/>
              </w:rPr>
            </w:pPr>
            <w:r w:rsidRPr="009106D3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62377E" w:rsidP="00061774">
            <w:pPr>
              <w:rPr>
                <w:sz w:val="20"/>
                <w:szCs w:val="20"/>
              </w:rPr>
            </w:pPr>
            <w:r w:rsidRPr="009106D3">
              <w:rPr>
                <w:sz w:val="20"/>
                <w:szCs w:val="20"/>
              </w:rPr>
              <w:t>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62377E" w:rsidP="00061774">
            <w:pPr>
              <w:rPr>
                <w:sz w:val="18"/>
                <w:szCs w:val="18"/>
              </w:rPr>
            </w:pPr>
            <w:r w:rsidRPr="009106D3">
              <w:rPr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62377E" w:rsidP="007C3653">
            <w:pPr>
              <w:rPr>
                <w:i/>
                <w:sz w:val="20"/>
                <w:szCs w:val="20"/>
              </w:rPr>
            </w:pPr>
            <w:r w:rsidRPr="009106D3">
              <w:rPr>
                <w:i/>
                <w:sz w:val="20"/>
                <w:szCs w:val="20"/>
              </w:rPr>
              <w:t>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62377E" w:rsidP="007C3653">
            <w:pPr>
              <w:rPr>
                <w:i/>
                <w:sz w:val="20"/>
                <w:szCs w:val="20"/>
              </w:rPr>
            </w:pPr>
            <w:r w:rsidRPr="009106D3">
              <w:rPr>
                <w:i/>
                <w:sz w:val="20"/>
                <w:szCs w:val="20"/>
              </w:rPr>
              <w:t>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62377E" w:rsidP="00061774">
            <w:pPr>
              <w:jc w:val="center"/>
              <w:rPr>
                <w:bCs/>
                <w:i/>
                <w:sz w:val="20"/>
                <w:szCs w:val="20"/>
              </w:rPr>
            </w:pPr>
            <w:r w:rsidRPr="009106D3">
              <w:rPr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62377E" w:rsidP="00061774">
            <w:pPr>
              <w:jc w:val="center"/>
              <w:rPr>
                <w:bCs/>
                <w:i/>
                <w:sz w:val="20"/>
                <w:szCs w:val="20"/>
              </w:rPr>
            </w:pPr>
            <w:r w:rsidRPr="009106D3">
              <w:rPr>
                <w:bCs/>
                <w:i/>
                <w:sz w:val="20"/>
                <w:szCs w:val="20"/>
              </w:rPr>
              <w:t>0,0</w:t>
            </w:r>
          </w:p>
        </w:tc>
      </w:tr>
      <w:tr w:rsidR="0062377E" w:rsidRPr="009106D3" w:rsidTr="00C105F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62377E" w:rsidP="00061774">
            <w:pPr>
              <w:rPr>
                <w:sz w:val="20"/>
                <w:szCs w:val="20"/>
              </w:rPr>
            </w:pPr>
            <w:r w:rsidRPr="009106D3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62377E" w:rsidP="00061774">
            <w:pPr>
              <w:rPr>
                <w:sz w:val="20"/>
                <w:szCs w:val="20"/>
              </w:rPr>
            </w:pPr>
            <w:r w:rsidRPr="009106D3">
              <w:rPr>
                <w:sz w:val="20"/>
                <w:szCs w:val="20"/>
              </w:rPr>
              <w:t>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62377E" w:rsidP="00061774">
            <w:pPr>
              <w:rPr>
                <w:sz w:val="18"/>
                <w:szCs w:val="18"/>
              </w:rPr>
            </w:pPr>
            <w:r w:rsidRPr="009106D3">
              <w:rPr>
                <w:b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62377E" w:rsidP="007C3653">
            <w:pPr>
              <w:rPr>
                <w:i/>
                <w:sz w:val="20"/>
                <w:szCs w:val="20"/>
              </w:rPr>
            </w:pPr>
            <w:r w:rsidRPr="009106D3">
              <w:rPr>
                <w:i/>
                <w:sz w:val="20"/>
                <w:szCs w:val="20"/>
              </w:rPr>
              <w:t>66550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62377E" w:rsidP="007C3653">
            <w:pPr>
              <w:rPr>
                <w:i/>
                <w:sz w:val="20"/>
                <w:szCs w:val="20"/>
              </w:rPr>
            </w:pPr>
            <w:r w:rsidRPr="009106D3">
              <w:rPr>
                <w:i/>
                <w:sz w:val="20"/>
                <w:szCs w:val="20"/>
              </w:rPr>
              <w:t>75150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62377E" w:rsidP="00061774">
            <w:pPr>
              <w:jc w:val="center"/>
              <w:rPr>
                <w:bCs/>
                <w:i/>
                <w:sz w:val="20"/>
                <w:szCs w:val="20"/>
              </w:rPr>
            </w:pPr>
            <w:r w:rsidRPr="009106D3">
              <w:rPr>
                <w:bCs/>
                <w:i/>
                <w:sz w:val="20"/>
                <w:szCs w:val="20"/>
              </w:rPr>
              <w:t>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E" w:rsidRPr="009106D3" w:rsidRDefault="0062377E" w:rsidP="00061774">
            <w:pPr>
              <w:jc w:val="center"/>
              <w:rPr>
                <w:bCs/>
                <w:i/>
                <w:sz w:val="20"/>
                <w:szCs w:val="20"/>
              </w:rPr>
            </w:pPr>
            <w:r w:rsidRPr="009106D3">
              <w:rPr>
                <w:bCs/>
                <w:i/>
                <w:sz w:val="20"/>
                <w:szCs w:val="20"/>
              </w:rPr>
              <w:t>12,9</w:t>
            </w:r>
          </w:p>
        </w:tc>
      </w:tr>
    </w:tbl>
    <w:p w:rsidR="0062377E" w:rsidRPr="009106D3" w:rsidRDefault="0062377E" w:rsidP="0062377E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9106D3">
        <w:t xml:space="preserve">Как видно из таблицы, кассовые расходы Комитета в 2019 году увеличились на </w:t>
      </w:r>
      <w:r w:rsidR="00C44FC0" w:rsidRPr="009106D3">
        <w:t xml:space="preserve">29151,8 тыс. руб., или на </w:t>
      </w:r>
      <w:r w:rsidRPr="009106D3">
        <w:t xml:space="preserve">9,5% по отношению к расходам 2018 года. </w:t>
      </w:r>
    </w:p>
    <w:p w:rsidR="00C44FC0" w:rsidRPr="009106D3" w:rsidRDefault="00C44FC0" w:rsidP="00C44FC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106D3">
        <w:t>По сравнению с 2018 годом увеличены расходы в 2019 году:</w:t>
      </w:r>
    </w:p>
    <w:p w:rsidR="00C95870" w:rsidRPr="009106D3" w:rsidRDefault="00C44FC0" w:rsidP="00E7505C">
      <w:pPr>
        <w:pStyle w:val="ac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06D3">
        <w:rPr>
          <w:rFonts w:ascii="Times New Roman" w:hAnsi="Times New Roman" w:cs="Times New Roman"/>
          <w:sz w:val="24"/>
          <w:szCs w:val="24"/>
        </w:rPr>
        <w:t xml:space="preserve">по подразделу 0113 </w:t>
      </w:r>
      <w:r w:rsidR="00076C0F" w:rsidRPr="009106D3">
        <w:rPr>
          <w:rFonts w:ascii="Times New Roman" w:hAnsi="Times New Roman" w:cs="Times New Roman"/>
          <w:sz w:val="24"/>
          <w:szCs w:val="24"/>
        </w:rPr>
        <w:t>«</w:t>
      </w:r>
      <w:r w:rsidRPr="009106D3">
        <w:rPr>
          <w:rFonts w:ascii="Times New Roman" w:hAnsi="Times New Roman" w:cs="Times New Roman"/>
          <w:sz w:val="24"/>
          <w:szCs w:val="24"/>
        </w:rPr>
        <w:t>Другие общегосударственные вопросы</w:t>
      </w:r>
      <w:r w:rsidR="00076C0F" w:rsidRPr="009106D3">
        <w:rPr>
          <w:rFonts w:ascii="Times New Roman" w:hAnsi="Times New Roman" w:cs="Times New Roman"/>
          <w:sz w:val="24"/>
          <w:szCs w:val="24"/>
        </w:rPr>
        <w:t>»</w:t>
      </w:r>
      <w:r w:rsidRPr="009106D3">
        <w:rPr>
          <w:rFonts w:ascii="Times New Roman" w:hAnsi="Times New Roman" w:cs="Times New Roman"/>
          <w:sz w:val="24"/>
          <w:szCs w:val="24"/>
        </w:rPr>
        <w:t xml:space="preserve">  на 10896,6 тыс.</w:t>
      </w:r>
      <w:r w:rsidR="002B2E9D" w:rsidRPr="009106D3">
        <w:rPr>
          <w:rFonts w:ascii="Times New Roman" w:hAnsi="Times New Roman" w:cs="Times New Roman"/>
          <w:sz w:val="24"/>
          <w:szCs w:val="24"/>
        </w:rPr>
        <w:t xml:space="preserve"> </w:t>
      </w:r>
      <w:r w:rsidRPr="009106D3">
        <w:rPr>
          <w:rFonts w:ascii="Times New Roman" w:hAnsi="Times New Roman" w:cs="Times New Roman"/>
          <w:sz w:val="24"/>
          <w:szCs w:val="24"/>
        </w:rPr>
        <w:t xml:space="preserve">руб., или </w:t>
      </w:r>
      <w:r w:rsidR="00E7505C" w:rsidRPr="009106D3">
        <w:rPr>
          <w:rFonts w:ascii="Times New Roman" w:hAnsi="Times New Roman" w:cs="Times New Roman"/>
          <w:sz w:val="24"/>
          <w:szCs w:val="24"/>
        </w:rPr>
        <w:t xml:space="preserve">на </w:t>
      </w:r>
      <w:r w:rsidRPr="009106D3">
        <w:rPr>
          <w:rFonts w:ascii="Times New Roman" w:hAnsi="Times New Roman" w:cs="Times New Roman"/>
          <w:sz w:val="24"/>
          <w:szCs w:val="24"/>
        </w:rPr>
        <w:t>6,3%,</w:t>
      </w:r>
      <w:r w:rsidR="00E7505C" w:rsidRPr="009106D3">
        <w:rPr>
          <w:rFonts w:ascii="Times New Roman" w:hAnsi="Times New Roman" w:cs="Times New Roman"/>
          <w:sz w:val="24"/>
          <w:szCs w:val="24"/>
        </w:rPr>
        <w:t xml:space="preserve"> в основном</w:t>
      </w:r>
      <w:r w:rsidRPr="009106D3">
        <w:rPr>
          <w:rFonts w:ascii="Times New Roman" w:hAnsi="Times New Roman" w:cs="Times New Roman"/>
          <w:sz w:val="24"/>
          <w:szCs w:val="24"/>
        </w:rPr>
        <w:t xml:space="preserve"> за</w:t>
      </w:r>
      <w:r w:rsidR="002B2E9D" w:rsidRPr="009106D3">
        <w:rPr>
          <w:rFonts w:ascii="Times New Roman" w:hAnsi="Times New Roman" w:cs="Times New Roman"/>
          <w:sz w:val="24"/>
          <w:szCs w:val="24"/>
        </w:rPr>
        <w:t> </w:t>
      </w:r>
      <w:r w:rsidRPr="009106D3">
        <w:rPr>
          <w:rFonts w:ascii="Times New Roman" w:hAnsi="Times New Roman" w:cs="Times New Roman"/>
          <w:sz w:val="24"/>
          <w:szCs w:val="24"/>
        </w:rPr>
        <w:t>счет</w:t>
      </w:r>
      <w:r w:rsidR="00E7505C" w:rsidRPr="009106D3">
        <w:rPr>
          <w:rFonts w:ascii="Times New Roman" w:hAnsi="Times New Roman" w:cs="Times New Roman"/>
          <w:sz w:val="24"/>
          <w:szCs w:val="24"/>
        </w:rPr>
        <w:t xml:space="preserve"> увеличения</w:t>
      </w:r>
      <w:r w:rsidR="00C95870" w:rsidRPr="009106D3">
        <w:rPr>
          <w:rFonts w:ascii="Times New Roman" w:hAnsi="Times New Roman" w:cs="Times New Roman"/>
          <w:sz w:val="24"/>
          <w:szCs w:val="24"/>
        </w:rPr>
        <w:t>:</w:t>
      </w:r>
      <w:r w:rsidRPr="00910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870" w:rsidRPr="009106D3" w:rsidRDefault="00C95870" w:rsidP="00E7505C">
      <w:pPr>
        <w:widowControl w:val="0"/>
        <w:autoSpaceDE w:val="0"/>
        <w:autoSpaceDN w:val="0"/>
        <w:adjustRightInd w:val="0"/>
        <w:ind w:firstLine="426"/>
        <w:jc w:val="both"/>
      </w:pPr>
      <w:r w:rsidRPr="009106D3">
        <w:t>-</w:t>
      </w:r>
      <w:r w:rsidR="00C44FC0" w:rsidRPr="009106D3">
        <w:t>расходов на информирование населения о реализации приоритетных направлений социально-экономического развития Волгоградск</w:t>
      </w:r>
      <w:r w:rsidRPr="009106D3">
        <w:t>ой области (+12385,2 тыс. руб.);</w:t>
      </w:r>
      <w:r w:rsidR="00C44FC0" w:rsidRPr="009106D3">
        <w:t xml:space="preserve"> </w:t>
      </w:r>
    </w:p>
    <w:p w:rsidR="00C44FC0" w:rsidRPr="009106D3" w:rsidRDefault="00C95870" w:rsidP="00E7505C">
      <w:pPr>
        <w:widowControl w:val="0"/>
        <w:autoSpaceDE w:val="0"/>
        <w:autoSpaceDN w:val="0"/>
        <w:adjustRightInd w:val="0"/>
        <w:ind w:firstLine="426"/>
        <w:jc w:val="both"/>
      </w:pPr>
      <w:r w:rsidRPr="009106D3">
        <w:t>-</w:t>
      </w:r>
      <w:r w:rsidR="00C44FC0" w:rsidRPr="009106D3">
        <w:t>предоставлени</w:t>
      </w:r>
      <w:r w:rsidR="002B2E9D" w:rsidRPr="009106D3">
        <w:t>я</w:t>
      </w:r>
      <w:r w:rsidR="00C44FC0" w:rsidRPr="009106D3">
        <w:t xml:space="preserve"> грантов общественным организациям Волгоградской области, занимающимся вопросами повышения финансовой грамотности населения, а также защитой прав потребителей финан</w:t>
      </w:r>
      <w:r w:rsidR="009C3CC9">
        <w:t>совых услуг (+1200</w:t>
      </w:r>
      <w:r w:rsidRPr="009106D3">
        <w:t xml:space="preserve"> тыс. руб.)</w:t>
      </w:r>
      <w:r w:rsidR="00E7505C" w:rsidRPr="009106D3">
        <w:t>.</w:t>
      </w:r>
      <w:r w:rsidR="00C44FC0" w:rsidRPr="009106D3">
        <w:t xml:space="preserve"> </w:t>
      </w:r>
    </w:p>
    <w:p w:rsidR="00C95870" w:rsidRPr="009106D3" w:rsidRDefault="00C44FC0" w:rsidP="00E7505C">
      <w:pPr>
        <w:pStyle w:val="ac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06D3">
        <w:rPr>
          <w:rFonts w:ascii="Times New Roman" w:hAnsi="Times New Roman" w:cs="Times New Roman"/>
          <w:sz w:val="24"/>
          <w:szCs w:val="24"/>
        </w:rPr>
        <w:t xml:space="preserve">по подразделу 0410 </w:t>
      </w:r>
      <w:r w:rsidR="00076C0F" w:rsidRPr="009106D3">
        <w:rPr>
          <w:rFonts w:ascii="Times New Roman" w:hAnsi="Times New Roman" w:cs="Times New Roman"/>
          <w:sz w:val="24"/>
          <w:szCs w:val="24"/>
        </w:rPr>
        <w:t>«</w:t>
      </w:r>
      <w:r w:rsidRPr="009106D3">
        <w:rPr>
          <w:rFonts w:ascii="Times New Roman" w:hAnsi="Times New Roman" w:cs="Times New Roman"/>
          <w:sz w:val="24"/>
          <w:szCs w:val="24"/>
        </w:rPr>
        <w:t>Связь и информатика</w:t>
      </w:r>
      <w:r w:rsidR="00076C0F" w:rsidRPr="009106D3">
        <w:rPr>
          <w:rFonts w:ascii="Times New Roman" w:hAnsi="Times New Roman" w:cs="Times New Roman"/>
          <w:sz w:val="24"/>
          <w:szCs w:val="24"/>
        </w:rPr>
        <w:t>»</w:t>
      </w:r>
      <w:r w:rsidRPr="009106D3">
        <w:rPr>
          <w:rFonts w:ascii="Times New Roman" w:hAnsi="Times New Roman" w:cs="Times New Roman"/>
          <w:sz w:val="24"/>
          <w:szCs w:val="24"/>
        </w:rPr>
        <w:t xml:space="preserve"> на 10977,2 тыс. руб., или </w:t>
      </w:r>
      <w:r w:rsidR="00E7505C" w:rsidRPr="009106D3">
        <w:rPr>
          <w:rFonts w:ascii="Times New Roman" w:hAnsi="Times New Roman" w:cs="Times New Roman"/>
          <w:sz w:val="24"/>
          <w:szCs w:val="24"/>
        </w:rPr>
        <w:t xml:space="preserve">на </w:t>
      </w:r>
      <w:r w:rsidRPr="009106D3">
        <w:rPr>
          <w:rFonts w:ascii="Times New Roman" w:hAnsi="Times New Roman" w:cs="Times New Roman"/>
          <w:sz w:val="24"/>
          <w:szCs w:val="24"/>
        </w:rPr>
        <w:t>40,4% за счет</w:t>
      </w:r>
      <w:r w:rsidR="00E7505C" w:rsidRPr="009106D3">
        <w:rPr>
          <w:rFonts w:ascii="Times New Roman" w:hAnsi="Times New Roman" w:cs="Times New Roman"/>
          <w:sz w:val="24"/>
          <w:szCs w:val="24"/>
        </w:rPr>
        <w:t xml:space="preserve"> </w:t>
      </w:r>
      <w:r w:rsidRPr="009106D3">
        <w:rPr>
          <w:rFonts w:ascii="Times New Roman" w:hAnsi="Times New Roman" w:cs="Times New Roman"/>
          <w:sz w:val="24"/>
          <w:szCs w:val="24"/>
        </w:rPr>
        <w:t>принятия новых расходных обязательств на финансовое обеспечение затрат, связанных с обеспечением распространения обязательного общедоступного телеканала Волгоградской области с использованием сетей спутникового телерадиовещания (+12203,4 тыс. руб.)</w:t>
      </w:r>
      <w:r w:rsidR="00033BB5" w:rsidRPr="009106D3">
        <w:rPr>
          <w:rFonts w:ascii="Times New Roman" w:hAnsi="Times New Roman" w:cs="Times New Roman"/>
          <w:sz w:val="24"/>
          <w:szCs w:val="24"/>
        </w:rPr>
        <w:t>;</w:t>
      </w:r>
      <w:r w:rsidRPr="00910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FC0" w:rsidRPr="009106D3" w:rsidRDefault="00C44FC0" w:rsidP="00E7505C">
      <w:pPr>
        <w:pStyle w:val="ac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06D3">
        <w:rPr>
          <w:rFonts w:ascii="Times New Roman" w:hAnsi="Times New Roman" w:cs="Times New Roman"/>
          <w:sz w:val="24"/>
          <w:szCs w:val="24"/>
        </w:rPr>
        <w:t xml:space="preserve">по подразделу 1204 </w:t>
      </w:r>
      <w:r w:rsidR="00076C0F" w:rsidRPr="009106D3">
        <w:rPr>
          <w:rFonts w:ascii="Times New Roman" w:hAnsi="Times New Roman" w:cs="Times New Roman"/>
          <w:sz w:val="24"/>
          <w:szCs w:val="24"/>
        </w:rPr>
        <w:t>«</w:t>
      </w:r>
      <w:r w:rsidRPr="009106D3">
        <w:rPr>
          <w:rFonts w:ascii="Times New Roman" w:hAnsi="Times New Roman" w:cs="Times New Roman"/>
          <w:sz w:val="24"/>
          <w:szCs w:val="24"/>
        </w:rPr>
        <w:t>Другие вопросы в области средств массовой информации</w:t>
      </w:r>
      <w:r w:rsidR="00076C0F" w:rsidRPr="009106D3">
        <w:rPr>
          <w:rFonts w:ascii="Times New Roman" w:hAnsi="Times New Roman" w:cs="Times New Roman"/>
          <w:sz w:val="24"/>
          <w:szCs w:val="24"/>
        </w:rPr>
        <w:t>»</w:t>
      </w:r>
      <w:r w:rsidR="009C3CC9">
        <w:rPr>
          <w:rFonts w:ascii="Times New Roman" w:hAnsi="Times New Roman" w:cs="Times New Roman"/>
          <w:sz w:val="24"/>
          <w:szCs w:val="24"/>
        </w:rPr>
        <w:t xml:space="preserve">  на 8600</w:t>
      </w:r>
      <w:r w:rsidRPr="009106D3">
        <w:rPr>
          <w:rFonts w:ascii="Times New Roman" w:hAnsi="Times New Roman" w:cs="Times New Roman"/>
          <w:sz w:val="24"/>
          <w:szCs w:val="24"/>
        </w:rPr>
        <w:t xml:space="preserve"> тыс.</w:t>
      </w:r>
      <w:r w:rsidR="00076C0F" w:rsidRPr="009106D3">
        <w:rPr>
          <w:rFonts w:ascii="Times New Roman" w:hAnsi="Times New Roman" w:cs="Times New Roman"/>
          <w:sz w:val="24"/>
          <w:szCs w:val="24"/>
        </w:rPr>
        <w:t xml:space="preserve"> </w:t>
      </w:r>
      <w:r w:rsidRPr="009106D3">
        <w:rPr>
          <w:rFonts w:ascii="Times New Roman" w:hAnsi="Times New Roman" w:cs="Times New Roman"/>
          <w:sz w:val="24"/>
          <w:szCs w:val="24"/>
        </w:rPr>
        <w:t xml:space="preserve">руб., или </w:t>
      </w:r>
      <w:r w:rsidR="00E7505C" w:rsidRPr="009106D3">
        <w:rPr>
          <w:rFonts w:ascii="Times New Roman" w:hAnsi="Times New Roman" w:cs="Times New Roman"/>
          <w:sz w:val="24"/>
          <w:szCs w:val="24"/>
        </w:rPr>
        <w:t xml:space="preserve">на </w:t>
      </w:r>
      <w:r w:rsidRPr="009106D3">
        <w:rPr>
          <w:rFonts w:ascii="Times New Roman" w:hAnsi="Times New Roman" w:cs="Times New Roman"/>
          <w:sz w:val="24"/>
          <w:szCs w:val="24"/>
        </w:rPr>
        <w:t>12,9% за счет увеличения расходов по предоставлению гранто</w:t>
      </w:r>
      <w:r w:rsidR="00076C0F" w:rsidRPr="009106D3">
        <w:rPr>
          <w:rFonts w:ascii="Times New Roman" w:hAnsi="Times New Roman" w:cs="Times New Roman"/>
          <w:sz w:val="24"/>
          <w:szCs w:val="24"/>
        </w:rPr>
        <w:t xml:space="preserve">в </w:t>
      </w:r>
      <w:r w:rsidR="00E7505C" w:rsidRPr="009106D3">
        <w:rPr>
          <w:rFonts w:ascii="Times New Roman" w:hAnsi="Times New Roman" w:cs="Times New Roman"/>
          <w:sz w:val="24"/>
          <w:szCs w:val="24"/>
        </w:rPr>
        <w:t>средствам массовой информации.</w:t>
      </w:r>
    </w:p>
    <w:p w:rsidR="0062377E" w:rsidRPr="009106D3" w:rsidRDefault="005B109B" w:rsidP="00D15CE5">
      <w:pPr>
        <w:tabs>
          <w:tab w:val="left" w:pos="709"/>
        </w:tabs>
        <w:spacing w:before="120" w:after="120"/>
        <w:jc w:val="center"/>
        <w:rPr>
          <w:b/>
        </w:rPr>
      </w:pPr>
      <w:r w:rsidRPr="009106D3">
        <w:rPr>
          <w:b/>
        </w:rPr>
        <w:t>Анализ дебиторской и кредиторской задолженности</w:t>
      </w:r>
    </w:p>
    <w:p w:rsidR="005B109B" w:rsidRPr="009106D3" w:rsidRDefault="005B109B" w:rsidP="005B109B">
      <w:pPr>
        <w:autoSpaceDE w:val="0"/>
        <w:autoSpaceDN w:val="0"/>
        <w:adjustRightInd w:val="0"/>
        <w:ind w:firstLine="709"/>
        <w:jc w:val="both"/>
      </w:pPr>
      <w:r w:rsidRPr="009106D3">
        <w:t xml:space="preserve">Информация о динамике дебиторской и кредиторской задолженности в 2019 году приведена в таблице </w:t>
      </w:r>
      <w:r w:rsidR="00784EE2" w:rsidRPr="009106D3">
        <w:t>2</w:t>
      </w:r>
      <w:r w:rsidRPr="009106D3">
        <w:t>.</w:t>
      </w:r>
    </w:p>
    <w:p w:rsidR="005B109B" w:rsidRPr="009106D3" w:rsidRDefault="005B109B" w:rsidP="005B109B">
      <w:pPr>
        <w:autoSpaceDE w:val="0"/>
        <w:autoSpaceDN w:val="0"/>
        <w:adjustRightInd w:val="0"/>
        <w:ind w:firstLine="709"/>
        <w:jc w:val="right"/>
      </w:pPr>
      <w:r w:rsidRPr="009106D3">
        <w:t xml:space="preserve">Таблица </w:t>
      </w:r>
      <w:r w:rsidR="00784EE2" w:rsidRPr="009106D3">
        <w:t>2</w:t>
      </w:r>
      <w:r w:rsidRPr="009106D3">
        <w:t>,  тыс. руб.</w:t>
      </w:r>
    </w:p>
    <w:tbl>
      <w:tblPr>
        <w:tblW w:w="9923" w:type="dxa"/>
        <w:tblInd w:w="108" w:type="dxa"/>
        <w:tblLook w:val="04A0"/>
      </w:tblPr>
      <w:tblGrid>
        <w:gridCol w:w="4536"/>
        <w:gridCol w:w="1560"/>
        <w:gridCol w:w="1275"/>
        <w:gridCol w:w="1418"/>
        <w:gridCol w:w="1134"/>
      </w:tblGrid>
      <w:tr w:rsidR="005B109B" w:rsidRPr="009106D3" w:rsidTr="00981DFC">
        <w:trPr>
          <w:trHeight w:val="55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B" w:rsidRPr="009106D3" w:rsidRDefault="005B109B" w:rsidP="000617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106D3">
              <w:rPr>
                <w:b/>
                <w:bCs/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B" w:rsidRPr="009106D3" w:rsidRDefault="005B109B" w:rsidP="0006177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9106D3">
              <w:rPr>
                <w:b/>
                <w:bCs/>
                <w:i/>
                <w:sz w:val="18"/>
                <w:szCs w:val="18"/>
              </w:rPr>
              <w:t>Данные о задолженности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B" w:rsidRPr="009106D3" w:rsidRDefault="005B109B" w:rsidP="0006177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9106D3">
              <w:rPr>
                <w:b/>
                <w:bCs/>
                <w:i/>
                <w:sz w:val="18"/>
                <w:szCs w:val="18"/>
              </w:rPr>
              <w:t>Динамика</w:t>
            </w:r>
          </w:p>
        </w:tc>
      </w:tr>
      <w:tr w:rsidR="005B109B" w:rsidRPr="009106D3" w:rsidTr="00981DFC">
        <w:trPr>
          <w:trHeight w:val="432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09B" w:rsidRPr="009106D3" w:rsidRDefault="005B109B" w:rsidP="00061774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B" w:rsidRPr="009106D3" w:rsidRDefault="005B109B" w:rsidP="0006177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9106D3">
              <w:rPr>
                <w:b/>
                <w:bCs/>
                <w:i/>
                <w:sz w:val="18"/>
                <w:szCs w:val="18"/>
              </w:rPr>
              <w:t>на 01.01.2019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B" w:rsidRPr="009106D3" w:rsidRDefault="005B109B" w:rsidP="0006177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9106D3">
              <w:rPr>
                <w:b/>
                <w:bCs/>
                <w:i/>
                <w:sz w:val="18"/>
                <w:szCs w:val="18"/>
              </w:rPr>
              <w:t>на 01.01.2020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B" w:rsidRPr="009106D3" w:rsidRDefault="005B109B" w:rsidP="0006177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9106D3">
              <w:rPr>
                <w:b/>
                <w:bCs/>
                <w:i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B" w:rsidRPr="009106D3" w:rsidRDefault="005B109B" w:rsidP="0006177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9106D3">
              <w:rPr>
                <w:b/>
                <w:bCs/>
                <w:i/>
                <w:sz w:val="18"/>
                <w:szCs w:val="18"/>
              </w:rPr>
              <w:t>%</w:t>
            </w:r>
          </w:p>
        </w:tc>
      </w:tr>
      <w:tr w:rsidR="005B109B" w:rsidRPr="009106D3" w:rsidTr="00981DFC">
        <w:trPr>
          <w:trHeight w:val="2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9B" w:rsidRPr="009106D3" w:rsidRDefault="005B109B" w:rsidP="00061774">
            <w:pPr>
              <w:rPr>
                <w:bCs/>
                <w:iCs/>
                <w:sz w:val="20"/>
                <w:szCs w:val="20"/>
              </w:rPr>
            </w:pPr>
            <w:r w:rsidRPr="009106D3">
              <w:rPr>
                <w:b/>
                <w:bCs/>
                <w:iCs/>
                <w:sz w:val="20"/>
                <w:szCs w:val="20"/>
              </w:rPr>
              <w:t xml:space="preserve">Дебиторская  задолженность ИТОГО:  </w:t>
            </w:r>
            <w:r w:rsidRPr="009106D3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B" w:rsidRPr="009106D3" w:rsidRDefault="005B109B" w:rsidP="00734FDF">
            <w:pPr>
              <w:jc w:val="center"/>
              <w:rPr>
                <w:b/>
                <w:bCs/>
                <w:sz w:val="20"/>
                <w:szCs w:val="20"/>
              </w:rPr>
            </w:pPr>
            <w:r w:rsidRPr="009106D3">
              <w:rPr>
                <w:b/>
                <w:bCs/>
                <w:sz w:val="20"/>
                <w:szCs w:val="20"/>
              </w:rPr>
              <w:t>88297,9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B" w:rsidRPr="009106D3" w:rsidRDefault="005B109B" w:rsidP="00734FDF">
            <w:pPr>
              <w:jc w:val="center"/>
              <w:rPr>
                <w:b/>
                <w:bCs/>
                <w:sz w:val="20"/>
                <w:szCs w:val="20"/>
              </w:rPr>
            </w:pPr>
            <w:r w:rsidRPr="009106D3">
              <w:rPr>
                <w:b/>
                <w:bCs/>
                <w:sz w:val="20"/>
                <w:szCs w:val="20"/>
              </w:rPr>
              <w:t>135128,7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B" w:rsidRPr="009106D3" w:rsidRDefault="005B109B" w:rsidP="00734FDF">
            <w:pPr>
              <w:jc w:val="center"/>
              <w:rPr>
                <w:b/>
                <w:bCs/>
                <w:sz w:val="20"/>
                <w:szCs w:val="20"/>
              </w:rPr>
            </w:pPr>
            <w:r w:rsidRPr="009106D3">
              <w:rPr>
                <w:b/>
                <w:bCs/>
                <w:sz w:val="20"/>
                <w:szCs w:val="20"/>
              </w:rPr>
              <w:t>46830,8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B" w:rsidRPr="009106D3" w:rsidRDefault="005B109B" w:rsidP="00734FDF">
            <w:pPr>
              <w:jc w:val="center"/>
              <w:rPr>
                <w:b/>
                <w:bCs/>
                <w:sz w:val="20"/>
                <w:szCs w:val="20"/>
              </w:rPr>
            </w:pPr>
            <w:r w:rsidRPr="009106D3">
              <w:rPr>
                <w:b/>
                <w:bCs/>
                <w:sz w:val="20"/>
                <w:szCs w:val="20"/>
              </w:rPr>
              <w:t>53</w:t>
            </w:r>
          </w:p>
        </w:tc>
      </w:tr>
      <w:tr w:rsidR="005B109B" w:rsidRPr="009106D3" w:rsidTr="00981DFC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9B" w:rsidRPr="009106D3" w:rsidRDefault="005B109B" w:rsidP="00061774">
            <w:pPr>
              <w:rPr>
                <w:sz w:val="20"/>
                <w:szCs w:val="20"/>
              </w:rPr>
            </w:pPr>
            <w:r w:rsidRPr="009106D3">
              <w:rPr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B" w:rsidRPr="009106D3" w:rsidRDefault="005B109B" w:rsidP="00734FDF">
            <w:pPr>
              <w:jc w:val="center"/>
              <w:rPr>
                <w:sz w:val="20"/>
                <w:szCs w:val="20"/>
              </w:rPr>
            </w:pPr>
            <w:r w:rsidRPr="009106D3">
              <w:rPr>
                <w:sz w:val="20"/>
                <w:szCs w:val="20"/>
              </w:rPr>
              <w:t>83709,4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B" w:rsidRPr="009106D3" w:rsidRDefault="005B109B" w:rsidP="00734FDF">
            <w:pPr>
              <w:jc w:val="center"/>
              <w:rPr>
                <w:sz w:val="20"/>
                <w:szCs w:val="20"/>
              </w:rPr>
            </w:pPr>
            <w:r w:rsidRPr="009106D3">
              <w:rPr>
                <w:sz w:val="20"/>
                <w:szCs w:val="20"/>
              </w:rPr>
              <w:t>133272,7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B" w:rsidRPr="009106D3" w:rsidRDefault="005B109B" w:rsidP="00734FDF">
            <w:pPr>
              <w:jc w:val="center"/>
              <w:rPr>
                <w:bCs/>
                <w:sz w:val="20"/>
                <w:szCs w:val="20"/>
              </w:rPr>
            </w:pPr>
            <w:r w:rsidRPr="009106D3">
              <w:rPr>
                <w:bCs/>
                <w:sz w:val="20"/>
                <w:szCs w:val="20"/>
              </w:rPr>
              <w:t>49563,3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B" w:rsidRPr="009106D3" w:rsidRDefault="005B109B" w:rsidP="00734FDF">
            <w:pPr>
              <w:jc w:val="center"/>
              <w:rPr>
                <w:bCs/>
                <w:sz w:val="20"/>
                <w:szCs w:val="20"/>
              </w:rPr>
            </w:pPr>
            <w:r w:rsidRPr="009106D3">
              <w:rPr>
                <w:bCs/>
                <w:sz w:val="20"/>
                <w:szCs w:val="20"/>
              </w:rPr>
              <w:t>59,2</w:t>
            </w:r>
          </w:p>
        </w:tc>
      </w:tr>
      <w:tr w:rsidR="005B109B" w:rsidRPr="009106D3" w:rsidTr="00981DFC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9B" w:rsidRPr="009106D3" w:rsidRDefault="005B109B" w:rsidP="00061774">
            <w:pPr>
              <w:rPr>
                <w:iCs/>
                <w:sz w:val="20"/>
                <w:szCs w:val="20"/>
              </w:rPr>
            </w:pPr>
            <w:r w:rsidRPr="009106D3">
              <w:rPr>
                <w:iCs/>
                <w:sz w:val="20"/>
                <w:szCs w:val="20"/>
              </w:rPr>
              <w:t>расчеты по ущербу и иным доходам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B" w:rsidRPr="009106D3" w:rsidRDefault="005B109B" w:rsidP="00734FDF">
            <w:pPr>
              <w:jc w:val="center"/>
              <w:rPr>
                <w:iCs/>
                <w:sz w:val="20"/>
                <w:szCs w:val="20"/>
              </w:rPr>
            </w:pPr>
            <w:r w:rsidRPr="009106D3">
              <w:rPr>
                <w:iCs/>
                <w:sz w:val="20"/>
                <w:szCs w:val="20"/>
              </w:rPr>
              <w:t>4433,5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B" w:rsidRPr="009106D3" w:rsidRDefault="005B109B" w:rsidP="00734FDF">
            <w:pPr>
              <w:jc w:val="center"/>
              <w:rPr>
                <w:iCs/>
                <w:sz w:val="20"/>
                <w:szCs w:val="20"/>
              </w:rPr>
            </w:pPr>
            <w:r w:rsidRPr="009106D3">
              <w:rPr>
                <w:iCs/>
                <w:sz w:val="20"/>
                <w:szCs w:val="20"/>
              </w:rPr>
              <w:t>1742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B" w:rsidRPr="009106D3" w:rsidRDefault="005B109B" w:rsidP="00734FDF">
            <w:pPr>
              <w:jc w:val="center"/>
              <w:rPr>
                <w:bCs/>
                <w:sz w:val="20"/>
                <w:szCs w:val="20"/>
              </w:rPr>
            </w:pPr>
            <w:r w:rsidRPr="009106D3">
              <w:rPr>
                <w:bCs/>
                <w:sz w:val="20"/>
                <w:szCs w:val="20"/>
              </w:rPr>
              <w:t>-2691,5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B" w:rsidRPr="009106D3" w:rsidRDefault="005B109B" w:rsidP="00734FDF">
            <w:pPr>
              <w:jc w:val="center"/>
              <w:rPr>
                <w:bCs/>
                <w:sz w:val="20"/>
                <w:szCs w:val="20"/>
              </w:rPr>
            </w:pPr>
            <w:r w:rsidRPr="009106D3">
              <w:rPr>
                <w:bCs/>
                <w:sz w:val="20"/>
                <w:szCs w:val="20"/>
              </w:rPr>
              <w:t>-60,7</w:t>
            </w:r>
          </w:p>
        </w:tc>
      </w:tr>
      <w:tr w:rsidR="005B109B" w:rsidRPr="009106D3" w:rsidTr="00981DFC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9B" w:rsidRPr="009106D3" w:rsidRDefault="005B109B" w:rsidP="00061774">
            <w:pPr>
              <w:rPr>
                <w:sz w:val="20"/>
                <w:szCs w:val="20"/>
              </w:rPr>
            </w:pPr>
            <w:r w:rsidRPr="009106D3">
              <w:rPr>
                <w:sz w:val="20"/>
                <w:szCs w:val="20"/>
              </w:rPr>
              <w:t>расчеты по платежам в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B" w:rsidRPr="009106D3" w:rsidRDefault="005B109B" w:rsidP="00734FDF">
            <w:pPr>
              <w:jc w:val="center"/>
              <w:rPr>
                <w:iCs/>
                <w:sz w:val="20"/>
                <w:szCs w:val="20"/>
              </w:rPr>
            </w:pPr>
            <w:r w:rsidRPr="009106D3">
              <w:rPr>
                <w:iCs/>
                <w:sz w:val="20"/>
                <w:szCs w:val="20"/>
              </w:rPr>
              <w:t>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B" w:rsidRPr="009106D3" w:rsidRDefault="005B109B" w:rsidP="00734FDF">
            <w:pPr>
              <w:jc w:val="center"/>
              <w:rPr>
                <w:iCs/>
                <w:sz w:val="20"/>
                <w:szCs w:val="20"/>
              </w:rPr>
            </w:pPr>
            <w:r w:rsidRPr="009106D3">
              <w:rPr>
                <w:iCs/>
                <w:sz w:val="20"/>
                <w:szCs w:val="20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B" w:rsidRPr="009106D3" w:rsidRDefault="005B109B" w:rsidP="00734FDF">
            <w:pPr>
              <w:jc w:val="center"/>
              <w:rPr>
                <w:bCs/>
                <w:sz w:val="20"/>
                <w:szCs w:val="20"/>
              </w:rPr>
            </w:pPr>
            <w:r w:rsidRPr="009106D3">
              <w:rPr>
                <w:bCs/>
                <w:sz w:val="20"/>
                <w:szCs w:val="20"/>
              </w:rPr>
              <w:t>-41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B" w:rsidRPr="009106D3" w:rsidRDefault="005B109B" w:rsidP="00734FDF">
            <w:pPr>
              <w:jc w:val="center"/>
              <w:rPr>
                <w:bCs/>
                <w:sz w:val="20"/>
                <w:szCs w:val="20"/>
              </w:rPr>
            </w:pPr>
            <w:r w:rsidRPr="009106D3">
              <w:rPr>
                <w:bCs/>
                <w:sz w:val="20"/>
                <w:szCs w:val="20"/>
              </w:rPr>
              <w:t>-26,5</w:t>
            </w:r>
          </w:p>
        </w:tc>
      </w:tr>
      <w:tr w:rsidR="005B109B" w:rsidRPr="009106D3" w:rsidTr="00981DFC">
        <w:trPr>
          <w:trHeight w:val="2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9B" w:rsidRPr="009106D3" w:rsidRDefault="005B109B" w:rsidP="00061774">
            <w:pPr>
              <w:rPr>
                <w:bCs/>
                <w:iCs/>
                <w:sz w:val="20"/>
                <w:szCs w:val="20"/>
              </w:rPr>
            </w:pPr>
            <w:r w:rsidRPr="009106D3">
              <w:rPr>
                <w:b/>
                <w:bCs/>
                <w:iCs/>
                <w:sz w:val="20"/>
                <w:szCs w:val="20"/>
              </w:rPr>
              <w:lastRenderedPageBreak/>
              <w:t xml:space="preserve">Кредиторская задолженность ИТОГО: </w:t>
            </w:r>
            <w:r w:rsidRPr="009106D3">
              <w:rPr>
                <w:sz w:val="20"/>
                <w:szCs w:val="20"/>
              </w:rPr>
              <w:t>в</w:t>
            </w:r>
            <w:r w:rsidRPr="009106D3">
              <w:rPr>
                <w:b/>
                <w:bCs/>
                <w:sz w:val="20"/>
                <w:szCs w:val="20"/>
              </w:rPr>
              <w:t xml:space="preserve"> </w:t>
            </w:r>
            <w:r w:rsidRPr="009106D3">
              <w:rPr>
                <w:sz w:val="20"/>
                <w:szCs w:val="20"/>
              </w:rPr>
              <w:t>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B" w:rsidRPr="009106D3" w:rsidRDefault="005B109B" w:rsidP="00734FDF">
            <w:pPr>
              <w:jc w:val="center"/>
              <w:rPr>
                <w:b/>
                <w:bCs/>
                <w:sz w:val="20"/>
                <w:szCs w:val="20"/>
              </w:rPr>
            </w:pPr>
            <w:r w:rsidRPr="009106D3">
              <w:rPr>
                <w:b/>
                <w:bCs/>
                <w:sz w:val="20"/>
                <w:szCs w:val="20"/>
              </w:rPr>
              <w:t>683,0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B" w:rsidRPr="009106D3" w:rsidRDefault="005B109B" w:rsidP="00734FDF">
            <w:pPr>
              <w:jc w:val="center"/>
              <w:rPr>
                <w:b/>
                <w:bCs/>
                <w:sz w:val="20"/>
                <w:szCs w:val="20"/>
              </w:rPr>
            </w:pPr>
            <w:r w:rsidRPr="009106D3">
              <w:rPr>
                <w:b/>
                <w:bCs/>
                <w:sz w:val="20"/>
                <w:szCs w:val="20"/>
              </w:rPr>
              <w:t>672,2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B" w:rsidRPr="009106D3" w:rsidRDefault="005B109B" w:rsidP="00734FDF">
            <w:pPr>
              <w:jc w:val="center"/>
              <w:rPr>
                <w:b/>
                <w:bCs/>
                <w:sz w:val="20"/>
                <w:szCs w:val="20"/>
              </w:rPr>
            </w:pPr>
            <w:r w:rsidRPr="009106D3">
              <w:rPr>
                <w:b/>
                <w:bCs/>
                <w:sz w:val="20"/>
                <w:szCs w:val="20"/>
              </w:rPr>
              <w:t>-10,8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B" w:rsidRPr="009106D3" w:rsidRDefault="005B109B" w:rsidP="00734FDF">
            <w:pPr>
              <w:jc w:val="center"/>
              <w:rPr>
                <w:b/>
                <w:bCs/>
                <w:sz w:val="20"/>
                <w:szCs w:val="20"/>
              </w:rPr>
            </w:pPr>
            <w:r w:rsidRPr="009106D3">
              <w:rPr>
                <w:b/>
                <w:bCs/>
                <w:sz w:val="20"/>
                <w:szCs w:val="20"/>
              </w:rPr>
              <w:t>-1,6</w:t>
            </w:r>
          </w:p>
        </w:tc>
      </w:tr>
      <w:tr w:rsidR="005B109B" w:rsidRPr="009106D3" w:rsidTr="00981DFC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9B" w:rsidRPr="009106D3" w:rsidRDefault="005B109B" w:rsidP="00061774">
            <w:pPr>
              <w:rPr>
                <w:sz w:val="20"/>
                <w:szCs w:val="20"/>
              </w:rPr>
            </w:pPr>
            <w:r w:rsidRPr="009106D3">
              <w:rPr>
                <w:sz w:val="20"/>
                <w:szCs w:val="20"/>
              </w:rPr>
              <w:t>расчеты по принятым обязательствам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B" w:rsidRPr="009106D3" w:rsidRDefault="005B109B" w:rsidP="00734FDF">
            <w:pPr>
              <w:jc w:val="center"/>
              <w:rPr>
                <w:iCs/>
                <w:sz w:val="20"/>
                <w:szCs w:val="20"/>
              </w:rPr>
            </w:pPr>
            <w:r w:rsidRPr="009106D3">
              <w:rPr>
                <w:iCs/>
                <w:sz w:val="20"/>
                <w:szCs w:val="20"/>
              </w:rPr>
              <w:t>683,0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B" w:rsidRPr="009106D3" w:rsidRDefault="005B109B" w:rsidP="00734FDF">
            <w:pPr>
              <w:jc w:val="center"/>
              <w:rPr>
                <w:iCs/>
                <w:sz w:val="20"/>
                <w:szCs w:val="20"/>
              </w:rPr>
            </w:pPr>
            <w:r w:rsidRPr="009106D3">
              <w:rPr>
                <w:iCs/>
                <w:sz w:val="20"/>
                <w:szCs w:val="20"/>
              </w:rPr>
              <w:t>672,2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B" w:rsidRPr="009106D3" w:rsidRDefault="005B109B" w:rsidP="00734FDF">
            <w:pPr>
              <w:jc w:val="center"/>
              <w:rPr>
                <w:bCs/>
                <w:sz w:val="20"/>
                <w:szCs w:val="20"/>
              </w:rPr>
            </w:pPr>
            <w:r w:rsidRPr="009106D3">
              <w:rPr>
                <w:bCs/>
                <w:sz w:val="20"/>
                <w:szCs w:val="20"/>
              </w:rPr>
              <w:t>-10,8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B" w:rsidRPr="009106D3" w:rsidRDefault="005B109B" w:rsidP="00734FDF">
            <w:pPr>
              <w:jc w:val="center"/>
              <w:rPr>
                <w:bCs/>
                <w:sz w:val="20"/>
                <w:szCs w:val="20"/>
              </w:rPr>
            </w:pPr>
            <w:r w:rsidRPr="009106D3">
              <w:rPr>
                <w:bCs/>
                <w:sz w:val="20"/>
                <w:szCs w:val="20"/>
              </w:rPr>
              <w:t>-1,6</w:t>
            </w:r>
          </w:p>
        </w:tc>
      </w:tr>
      <w:tr w:rsidR="005B109B" w:rsidRPr="009106D3" w:rsidTr="00981DFC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09B" w:rsidRPr="009106D3" w:rsidRDefault="005B109B" w:rsidP="00061774">
            <w:pPr>
              <w:rPr>
                <w:sz w:val="20"/>
                <w:szCs w:val="20"/>
              </w:rPr>
            </w:pPr>
            <w:r w:rsidRPr="009106D3">
              <w:rPr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B" w:rsidRPr="009106D3" w:rsidRDefault="005B109B" w:rsidP="00734FDF">
            <w:pPr>
              <w:jc w:val="center"/>
              <w:rPr>
                <w:sz w:val="20"/>
                <w:szCs w:val="20"/>
              </w:rPr>
            </w:pPr>
            <w:r w:rsidRPr="009106D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B" w:rsidRPr="009106D3" w:rsidRDefault="005B109B" w:rsidP="00734FDF">
            <w:pPr>
              <w:jc w:val="center"/>
              <w:rPr>
                <w:sz w:val="20"/>
                <w:szCs w:val="20"/>
              </w:rPr>
            </w:pPr>
            <w:r w:rsidRPr="009106D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B" w:rsidRPr="009106D3" w:rsidRDefault="005B109B" w:rsidP="00734FDF">
            <w:pPr>
              <w:jc w:val="center"/>
              <w:rPr>
                <w:bCs/>
                <w:sz w:val="20"/>
                <w:szCs w:val="20"/>
              </w:rPr>
            </w:pPr>
            <w:r w:rsidRPr="009106D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9B" w:rsidRPr="009106D3" w:rsidRDefault="005B109B" w:rsidP="00734FDF">
            <w:pPr>
              <w:jc w:val="center"/>
              <w:rPr>
                <w:bCs/>
                <w:sz w:val="20"/>
                <w:szCs w:val="20"/>
              </w:rPr>
            </w:pPr>
            <w:r w:rsidRPr="009106D3">
              <w:rPr>
                <w:bCs/>
                <w:sz w:val="20"/>
                <w:szCs w:val="20"/>
              </w:rPr>
              <w:t>0</w:t>
            </w:r>
          </w:p>
        </w:tc>
      </w:tr>
    </w:tbl>
    <w:p w:rsidR="005B109B" w:rsidRPr="009106D3" w:rsidRDefault="005B109B" w:rsidP="001E640F">
      <w:pPr>
        <w:spacing w:before="120" w:after="120"/>
        <w:jc w:val="center"/>
        <w:rPr>
          <w:i/>
          <w:u w:val="single"/>
        </w:rPr>
      </w:pPr>
      <w:r w:rsidRPr="009106D3">
        <w:rPr>
          <w:i/>
          <w:u w:val="single"/>
        </w:rPr>
        <w:t>Состояние дебиторской задолженности:</w:t>
      </w:r>
    </w:p>
    <w:p w:rsidR="005B109B" w:rsidRPr="009106D3" w:rsidRDefault="003D2150" w:rsidP="005B109B">
      <w:pPr>
        <w:ind w:firstLine="720"/>
        <w:jc w:val="both"/>
      </w:pPr>
      <w:r w:rsidRPr="009106D3">
        <w:t>П</w:t>
      </w:r>
      <w:r w:rsidR="005B109B" w:rsidRPr="009106D3">
        <w:t>о сравнению</w:t>
      </w:r>
      <w:r w:rsidR="00E12B54" w:rsidRPr="009106D3">
        <w:t xml:space="preserve"> с предыдущим отчетным периодом</w:t>
      </w:r>
      <w:r w:rsidR="005B109B" w:rsidRPr="009106D3">
        <w:t xml:space="preserve"> на 01.01.2020 у Комитета произошло увеличение дебиторской задолженности на 46830,8 тыс. рублей. Основная сумма задолженности приходится на расчеты по выданным авансам – 133272,7 тыс. рублей. </w:t>
      </w:r>
    </w:p>
    <w:p w:rsidR="005B109B" w:rsidRPr="009106D3" w:rsidRDefault="00BB26ED" w:rsidP="007314D2">
      <w:pPr>
        <w:ind w:firstLine="720"/>
        <w:jc w:val="both"/>
      </w:pPr>
      <w:r w:rsidRPr="009106D3">
        <w:t xml:space="preserve">По сравнению с </w:t>
      </w:r>
      <w:r w:rsidR="00287BA7" w:rsidRPr="009106D3">
        <w:t>01.01.2019</w:t>
      </w:r>
      <w:r w:rsidRPr="009106D3">
        <w:t xml:space="preserve"> (10742,1 тыс. руб.) п</w:t>
      </w:r>
      <w:r w:rsidR="005B109B" w:rsidRPr="009106D3">
        <w:t xml:space="preserve">росроченная дебиторская задолженность Комитета на 01.01.2020 </w:t>
      </w:r>
      <w:r w:rsidRPr="009106D3">
        <w:t xml:space="preserve">увеличилась на 25268,8 тыс. руб., или на 30%  и </w:t>
      </w:r>
      <w:r w:rsidR="005B109B" w:rsidRPr="009106D3">
        <w:t xml:space="preserve">составляет </w:t>
      </w:r>
      <w:r w:rsidR="00287BA7" w:rsidRPr="009106D3">
        <w:t>36010,9 тыс. рублей. Просроченная дебиторская задолженность</w:t>
      </w:r>
      <w:r w:rsidR="005B109B" w:rsidRPr="009106D3">
        <w:t xml:space="preserve"> сложи</w:t>
      </w:r>
      <w:r w:rsidR="00287BA7" w:rsidRPr="009106D3">
        <w:t>лась</w:t>
      </w:r>
      <w:r w:rsidR="005B109B" w:rsidRPr="009106D3">
        <w:t xml:space="preserve"> в результате предоставления грантов </w:t>
      </w:r>
      <w:r w:rsidR="00C83012" w:rsidRPr="009106D3">
        <w:t xml:space="preserve">средствам массовой информации (далее </w:t>
      </w:r>
      <w:r w:rsidR="005B109B" w:rsidRPr="009106D3">
        <w:t>СМИ</w:t>
      </w:r>
      <w:r w:rsidR="00C83012" w:rsidRPr="009106D3">
        <w:t>)</w:t>
      </w:r>
      <w:r w:rsidR="005B109B" w:rsidRPr="009106D3">
        <w:t xml:space="preserve">, субсидий </w:t>
      </w:r>
      <w:r w:rsidR="00C83012" w:rsidRPr="009106D3">
        <w:t xml:space="preserve">социально ориентированных некоммерческих организаций (далее </w:t>
      </w:r>
      <w:r w:rsidR="005B109B" w:rsidRPr="009106D3">
        <w:t>СО НКО</w:t>
      </w:r>
      <w:r w:rsidR="00C83012" w:rsidRPr="009106D3">
        <w:t>)</w:t>
      </w:r>
      <w:r w:rsidR="005B109B" w:rsidRPr="009106D3">
        <w:t>, а также расчетов по доходам от прочих сумм принудительного взыскания.</w:t>
      </w:r>
    </w:p>
    <w:p w:rsidR="00240A22" w:rsidRPr="009106D3" w:rsidRDefault="00033BB5" w:rsidP="007314D2">
      <w:pPr>
        <w:ind w:firstLine="720"/>
        <w:jc w:val="both"/>
      </w:pPr>
      <w:r w:rsidRPr="009106D3">
        <w:t>В</w:t>
      </w:r>
      <w:r w:rsidR="00240A22" w:rsidRPr="009106D3">
        <w:t>опросу</w:t>
      </w:r>
      <w:r w:rsidR="0059551E" w:rsidRPr="009106D3">
        <w:t xml:space="preserve"> сокращения дебиторской задолженности</w:t>
      </w:r>
      <w:r w:rsidR="00240A22" w:rsidRPr="009106D3">
        <w:t xml:space="preserve"> КСП было</w:t>
      </w:r>
      <w:r w:rsidR="0059551E" w:rsidRPr="009106D3">
        <w:t xml:space="preserve"> уделено особое внимание в виду установления </w:t>
      </w:r>
      <w:r w:rsidR="00E24D30" w:rsidRPr="009106D3">
        <w:t>аналогичных</w:t>
      </w:r>
      <w:r w:rsidR="0059551E" w:rsidRPr="009106D3">
        <w:t xml:space="preserve"> нарушений при проведении внешней проверки бюджетной отчетности за 2017</w:t>
      </w:r>
      <w:r w:rsidR="00E87C56" w:rsidRPr="009106D3">
        <w:t xml:space="preserve"> год</w:t>
      </w:r>
      <w:r w:rsidR="00E24D30" w:rsidRPr="009106D3">
        <w:t>,</w:t>
      </w:r>
      <w:r w:rsidR="00E87C56" w:rsidRPr="009106D3">
        <w:t xml:space="preserve"> в целях </w:t>
      </w:r>
      <w:r w:rsidR="00E24D30" w:rsidRPr="009106D3">
        <w:t>сокращения которой</w:t>
      </w:r>
      <w:r w:rsidR="00E87C56" w:rsidRPr="009106D3">
        <w:t xml:space="preserve"> были даны соответствующие предложения по работе. </w:t>
      </w:r>
    </w:p>
    <w:p w:rsidR="00537193" w:rsidRPr="009106D3" w:rsidRDefault="00D15CE5" w:rsidP="007314D2">
      <w:pPr>
        <w:pStyle w:val="21"/>
        <w:ind w:firstLine="720"/>
        <w:rPr>
          <w:sz w:val="24"/>
          <w:szCs w:val="24"/>
        </w:rPr>
      </w:pPr>
      <w:r w:rsidRPr="009106D3">
        <w:rPr>
          <w:sz w:val="24"/>
          <w:szCs w:val="24"/>
        </w:rPr>
        <w:t>По данным бюджетной отчетности Комитета сумма просроченной дебиторской задолженности</w:t>
      </w:r>
      <w:r w:rsidR="00537193" w:rsidRPr="009106D3">
        <w:rPr>
          <w:sz w:val="24"/>
          <w:szCs w:val="24"/>
        </w:rPr>
        <w:t xml:space="preserve"> составляет:</w:t>
      </w:r>
    </w:p>
    <w:p w:rsidR="00537193" w:rsidRPr="009106D3" w:rsidRDefault="001D5372" w:rsidP="00537193">
      <w:pPr>
        <w:pStyle w:val="21"/>
        <w:ind w:firstLine="720"/>
        <w:rPr>
          <w:sz w:val="24"/>
          <w:szCs w:val="24"/>
        </w:rPr>
      </w:pPr>
      <w:r w:rsidRPr="009106D3">
        <w:rPr>
          <w:sz w:val="24"/>
          <w:szCs w:val="24"/>
        </w:rPr>
        <w:t>-</w:t>
      </w:r>
      <w:r w:rsidR="00D15CE5" w:rsidRPr="009106D3">
        <w:rPr>
          <w:sz w:val="24"/>
          <w:szCs w:val="24"/>
        </w:rPr>
        <w:t xml:space="preserve">по грантам СМИ </w:t>
      </w:r>
      <w:r w:rsidR="00537193" w:rsidRPr="009106D3">
        <w:rPr>
          <w:sz w:val="24"/>
          <w:szCs w:val="24"/>
        </w:rPr>
        <w:t xml:space="preserve">– </w:t>
      </w:r>
      <w:r w:rsidR="00D15CE5" w:rsidRPr="009106D3">
        <w:rPr>
          <w:sz w:val="24"/>
          <w:szCs w:val="24"/>
        </w:rPr>
        <w:t>34029,4 тыс. руб</w:t>
      </w:r>
      <w:r w:rsidR="000D0187" w:rsidRPr="009106D3">
        <w:rPr>
          <w:sz w:val="24"/>
          <w:szCs w:val="24"/>
        </w:rPr>
        <w:t xml:space="preserve">., или </w:t>
      </w:r>
      <w:r w:rsidR="00783964" w:rsidRPr="009106D3">
        <w:rPr>
          <w:sz w:val="24"/>
          <w:szCs w:val="24"/>
        </w:rPr>
        <w:t>34,5</w:t>
      </w:r>
      <w:r w:rsidR="00E24A8E" w:rsidRPr="009106D3">
        <w:rPr>
          <w:sz w:val="24"/>
          <w:szCs w:val="24"/>
        </w:rPr>
        <w:t>% от общ</w:t>
      </w:r>
      <w:r w:rsidR="00287BA7" w:rsidRPr="009106D3">
        <w:rPr>
          <w:sz w:val="24"/>
          <w:szCs w:val="24"/>
        </w:rPr>
        <w:t>ей суммы</w:t>
      </w:r>
      <w:r w:rsidR="00E24A8E" w:rsidRPr="009106D3">
        <w:rPr>
          <w:sz w:val="24"/>
          <w:szCs w:val="24"/>
        </w:rPr>
        <w:t xml:space="preserve"> задолженности по грантам </w:t>
      </w:r>
      <w:r w:rsidR="00783964" w:rsidRPr="009106D3">
        <w:rPr>
          <w:sz w:val="24"/>
          <w:szCs w:val="24"/>
        </w:rPr>
        <w:t>(98566,6 тыс.</w:t>
      </w:r>
      <w:r w:rsidR="00315053" w:rsidRPr="009106D3">
        <w:rPr>
          <w:sz w:val="24"/>
          <w:szCs w:val="24"/>
        </w:rPr>
        <w:t xml:space="preserve"> </w:t>
      </w:r>
      <w:r w:rsidR="00783964" w:rsidRPr="009106D3">
        <w:rPr>
          <w:sz w:val="24"/>
          <w:szCs w:val="24"/>
        </w:rPr>
        <w:t>руб.)</w:t>
      </w:r>
      <w:r w:rsidR="00537193" w:rsidRPr="009106D3">
        <w:rPr>
          <w:sz w:val="24"/>
          <w:szCs w:val="24"/>
        </w:rPr>
        <w:t>;</w:t>
      </w:r>
      <w:r w:rsidR="00D15CE5" w:rsidRPr="009106D3">
        <w:rPr>
          <w:sz w:val="24"/>
          <w:szCs w:val="24"/>
        </w:rPr>
        <w:t xml:space="preserve"> </w:t>
      </w:r>
    </w:p>
    <w:p w:rsidR="00287BA7" w:rsidRPr="009106D3" w:rsidRDefault="001D5372" w:rsidP="00537193">
      <w:pPr>
        <w:pStyle w:val="21"/>
        <w:ind w:firstLine="720"/>
        <w:rPr>
          <w:sz w:val="24"/>
          <w:szCs w:val="24"/>
        </w:rPr>
      </w:pPr>
      <w:r w:rsidRPr="009106D3">
        <w:rPr>
          <w:sz w:val="24"/>
          <w:szCs w:val="24"/>
        </w:rPr>
        <w:t>-</w:t>
      </w:r>
      <w:r w:rsidR="00537193" w:rsidRPr="009106D3">
        <w:rPr>
          <w:sz w:val="24"/>
          <w:szCs w:val="24"/>
        </w:rPr>
        <w:t>по субсидиям СО НКО – 239,5 тыс. руб., или 2,2% от общей суммы задолженности по субси</w:t>
      </w:r>
      <w:r w:rsidRPr="009106D3">
        <w:rPr>
          <w:sz w:val="24"/>
          <w:szCs w:val="24"/>
        </w:rPr>
        <w:t>диям СО НКО (10686,1 тыс. руб.);</w:t>
      </w:r>
    </w:p>
    <w:p w:rsidR="00287BA7" w:rsidRPr="009106D3" w:rsidRDefault="001D5372" w:rsidP="007314D2">
      <w:pPr>
        <w:pStyle w:val="21"/>
        <w:ind w:firstLine="720"/>
        <w:rPr>
          <w:sz w:val="24"/>
          <w:szCs w:val="24"/>
        </w:rPr>
      </w:pPr>
      <w:r w:rsidRPr="009106D3">
        <w:rPr>
          <w:sz w:val="24"/>
          <w:szCs w:val="24"/>
        </w:rPr>
        <w:t>-по доходам от прочих сумм принудительного взыскания сумма просроченной дебиторско</w:t>
      </w:r>
      <w:r w:rsidR="009C3CC9">
        <w:rPr>
          <w:sz w:val="24"/>
          <w:szCs w:val="24"/>
        </w:rPr>
        <w:t>й задолженности составила 1742</w:t>
      </w:r>
      <w:r w:rsidRPr="009106D3">
        <w:rPr>
          <w:sz w:val="24"/>
          <w:szCs w:val="24"/>
        </w:rPr>
        <w:t xml:space="preserve"> тыс. рублей.</w:t>
      </w:r>
    </w:p>
    <w:p w:rsidR="00D15CE5" w:rsidRPr="009106D3" w:rsidRDefault="001D5372" w:rsidP="007314D2">
      <w:pPr>
        <w:pStyle w:val="21"/>
        <w:ind w:firstLine="720"/>
        <w:rPr>
          <w:sz w:val="24"/>
          <w:szCs w:val="24"/>
        </w:rPr>
      </w:pPr>
      <w:r w:rsidRPr="009106D3">
        <w:rPr>
          <w:sz w:val="24"/>
          <w:szCs w:val="24"/>
        </w:rPr>
        <w:t>Основная часть</w:t>
      </w:r>
      <w:r w:rsidR="00D15CE5" w:rsidRPr="009106D3">
        <w:rPr>
          <w:sz w:val="24"/>
          <w:szCs w:val="24"/>
        </w:rPr>
        <w:t xml:space="preserve"> задолженност</w:t>
      </w:r>
      <w:r w:rsidRPr="009106D3">
        <w:rPr>
          <w:sz w:val="24"/>
          <w:szCs w:val="24"/>
        </w:rPr>
        <w:t>и</w:t>
      </w:r>
      <w:r w:rsidR="00D15CE5" w:rsidRPr="009106D3">
        <w:rPr>
          <w:sz w:val="24"/>
          <w:szCs w:val="24"/>
        </w:rPr>
        <w:t xml:space="preserve"> сложилась по причине предоставления СМИ (13 организаций)</w:t>
      </w:r>
      <w:r w:rsidRPr="009106D3">
        <w:rPr>
          <w:sz w:val="24"/>
          <w:szCs w:val="24"/>
        </w:rPr>
        <w:t xml:space="preserve"> и</w:t>
      </w:r>
      <w:r w:rsidR="00D15CE5" w:rsidRPr="009106D3">
        <w:rPr>
          <w:sz w:val="24"/>
          <w:szCs w:val="24"/>
        </w:rPr>
        <w:t xml:space="preserve"> </w:t>
      </w:r>
      <w:r w:rsidR="00537193" w:rsidRPr="009106D3">
        <w:rPr>
          <w:sz w:val="24"/>
          <w:szCs w:val="24"/>
        </w:rPr>
        <w:t>СО НКО (4 организации)</w:t>
      </w:r>
      <w:r w:rsidR="00537193" w:rsidRPr="009106D3">
        <w:t xml:space="preserve"> </w:t>
      </w:r>
      <w:r w:rsidR="00D15CE5" w:rsidRPr="009106D3">
        <w:rPr>
          <w:sz w:val="24"/>
          <w:szCs w:val="24"/>
        </w:rPr>
        <w:t>неверно оформленной отчетности об использовании грантов</w:t>
      </w:r>
      <w:r w:rsidR="00C22D1D" w:rsidRPr="009106D3">
        <w:rPr>
          <w:sz w:val="24"/>
          <w:szCs w:val="24"/>
        </w:rPr>
        <w:t xml:space="preserve"> и субсидий,</w:t>
      </w:r>
      <w:r w:rsidR="00D15CE5" w:rsidRPr="009106D3">
        <w:rPr>
          <w:sz w:val="24"/>
          <w:szCs w:val="24"/>
        </w:rPr>
        <w:t xml:space="preserve"> которые Комитетом возвращены СМИ на доработку. </w:t>
      </w:r>
    </w:p>
    <w:p w:rsidR="00D15CE5" w:rsidRPr="009106D3" w:rsidRDefault="00D15CE5" w:rsidP="007314D2">
      <w:pPr>
        <w:pStyle w:val="21"/>
        <w:ind w:firstLine="720"/>
        <w:rPr>
          <w:sz w:val="24"/>
          <w:szCs w:val="24"/>
        </w:rPr>
      </w:pPr>
      <w:proofErr w:type="gramStart"/>
      <w:r w:rsidRPr="009106D3">
        <w:rPr>
          <w:sz w:val="24"/>
          <w:szCs w:val="24"/>
        </w:rPr>
        <w:t xml:space="preserve">При этом Порядком предоставления грантов Волгоградской области средствам массовой информации, утвержденным </w:t>
      </w:r>
      <w:r w:rsidR="00264E9C" w:rsidRPr="009106D3">
        <w:rPr>
          <w:sz w:val="24"/>
          <w:szCs w:val="24"/>
        </w:rPr>
        <w:t>п</w:t>
      </w:r>
      <w:r w:rsidRPr="009106D3">
        <w:rPr>
          <w:sz w:val="24"/>
          <w:szCs w:val="24"/>
        </w:rPr>
        <w:t>остановлением Администрации Волгоградской обл. от 30.07.2015</w:t>
      </w:r>
      <w:r w:rsidR="00C22D1D" w:rsidRPr="009106D3">
        <w:rPr>
          <w:sz w:val="24"/>
          <w:szCs w:val="24"/>
        </w:rPr>
        <w:t xml:space="preserve"> № 449-п (далее Порядок № 449-п) и постановлением Правительства Волгоградской области от 05.03.2013 № 106-п «О</w:t>
      </w:r>
      <w:r w:rsidR="00C22D1D" w:rsidRPr="009106D3">
        <w:rPr>
          <w:rFonts w:eastAsiaTheme="minorHAnsi"/>
          <w:sz w:val="24"/>
          <w:szCs w:val="24"/>
          <w:lang w:eastAsia="en-US"/>
        </w:rPr>
        <w:t xml:space="preserve"> порядке определения объема и предоставления субсидий социально ориентированным некоммерческим организациям, осуществляющим деятельность на </w:t>
      </w:r>
      <w:r w:rsidR="00C22D1D" w:rsidRPr="009106D3">
        <w:rPr>
          <w:sz w:val="24"/>
          <w:szCs w:val="24"/>
        </w:rPr>
        <w:t xml:space="preserve">территории волгоградской области» (далее Порядок №106-п) </w:t>
      </w:r>
      <w:r w:rsidRPr="009106D3">
        <w:rPr>
          <w:sz w:val="24"/>
          <w:szCs w:val="24"/>
        </w:rPr>
        <w:t xml:space="preserve">направление отчетов на доработку не предусмотрено. </w:t>
      </w:r>
      <w:proofErr w:type="gramEnd"/>
    </w:p>
    <w:p w:rsidR="00C22D1D" w:rsidRPr="009106D3" w:rsidRDefault="00C22D1D" w:rsidP="00C22D1D">
      <w:pPr>
        <w:pStyle w:val="21"/>
        <w:ind w:firstLine="720"/>
        <w:rPr>
          <w:sz w:val="24"/>
          <w:szCs w:val="24"/>
        </w:rPr>
      </w:pPr>
      <w:r w:rsidRPr="009106D3">
        <w:rPr>
          <w:sz w:val="24"/>
          <w:szCs w:val="24"/>
        </w:rPr>
        <w:t>В нарушение Порядка №449-п Комитет не воспользовался своим правом требовать возврат грантов (части грантов) в областной бюджет, тем самым не исполнил полномочия, уста</w:t>
      </w:r>
      <w:r w:rsidR="00EC2A31" w:rsidRPr="009106D3">
        <w:rPr>
          <w:sz w:val="24"/>
          <w:szCs w:val="24"/>
        </w:rPr>
        <w:t>новленные п.3 ч.1 ст. 162 БК РФ, что и привело к росту дебиторской задолженности.</w:t>
      </w:r>
    </w:p>
    <w:p w:rsidR="00256867" w:rsidRPr="009106D3" w:rsidRDefault="00240A22" w:rsidP="00256867">
      <w:pPr>
        <w:pStyle w:val="21"/>
        <w:ind w:firstLine="720"/>
        <w:rPr>
          <w:sz w:val="24"/>
          <w:szCs w:val="24"/>
        </w:rPr>
      </w:pPr>
      <w:proofErr w:type="gramStart"/>
      <w:r w:rsidRPr="009106D3">
        <w:rPr>
          <w:sz w:val="24"/>
          <w:szCs w:val="24"/>
        </w:rPr>
        <w:t xml:space="preserve">Кроме того, в нарушение п.п. 2.1, 4.6 Порядка №449-п Комитетом в 2019 году к конкурсному отбору </w:t>
      </w:r>
      <w:r w:rsidR="00E24D30" w:rsidRPr="009106D3">
        <w:rPr>
          <w:sz w:val="24"/>
          <w:szCs w:val="24"/>
        </w:rPr>
        <w:t xml:space="preserve">для предоставления грантов СМИ </w:t>
      </w:r>
      <w:r w:rsidRPr="009106D3">
        <w:rPr>
          <w:sz w:val="24"/>
          <w:szCs w:val="24"/>
        </w:rPr>
        <w:t>были допущены организации, имеющие просроченную задолженность по возврату грантов в областной бюджет</w:t>
      </w:r>
      <w:r w:rsidR="00F2298D" w:rsidRPr="009106D3">
        <w:rPr>
          <w:sz w:val="24"/>
          <w:szCs w:val="24"/>
        </w:rPr>
        <w:t xml:space="preserve">, что </w:t>
      </w:r>
      <w:r w:rsidR="001B3A5E" w:rsidRPr="009106D3">
        <w:rPr>
          <w:sz w:val="24"/>
          <w:szCs w:val="24"/>
        </w:rPr>
        <w:t>повлекло нарушение</w:t>
      </w:r>
      <w:r w:rsidR="00F2298D" w:rsidRPr="009106D3">
        <w:rPr>
          <w:sz w:val="24"/>
          <w:szCs w:val="24"/>
        </w:rPr>
        <w:t xml:space="preserve"> условий предоставления грантов</w:t>
      </w:r>
      <w:r w:rsidR="009C2871" w:rsidRPr="009106D3">
        <w:rPr>
          <w:sz w:val="24"/>
          <w:szCs w:val="24"/>
        </w:rPr>
        <w:t>, предусмотренных разделом III соглашений, заключен</w:t>
      </w:r>
      <w:r w:rsidR="00307E3F" w:rsidRPr="009106D3">
        <w:rPr>
          <w:sz w:val="24"/>
          <w:szCs w:val="24"/>
        </w:rPr>
        <w:t>н</w:t>
      </w:r>
      <w:r w:rsidR="009C2871" w:rsidRPr="009106D3">
        <w:rPr>
          <w:sz w:val="24"/>
          <w:szCs w:val="24"/>
        </w:rPr>
        <w:t xml:space="preserve">ых Комитетом со СМИ, </w:t>
      </w:r>
      <w:r w:rsidR="00F2298D" w:rsidRPr="009106D3">
        <w:rPr>
          <w:sz w:val="24"/>
          <w:szCs w:val="24"/>
        </w:rPr>
        <w:t>и образует состав административного правонарушения, предусмотренного ст. 15.15.5.</w:t>
      </w:r>
      <w:proofErr w:type="gramEnd"/>
      <w:r w:rsidR="00F2298D" w:rsidRPr="009106D3">
        <w:rPr>
          <w:sz w:val="24"/>
          <w:szCs w:val="24"/>
        </w:rPr>
        <w:t xml:space="preserve"> </w:t>
      </w:r>
      <w:proofErr w:type="spellStart"/>
      <w:r w:rsidR="00F2298D" w:rsidRPr="009106D3">
        <w:rPr>
          <w:sz w:val="24"/>
          <w:szCs w:val="24"/>
        </w:rPr>
        <w:t>КоАП</w:t>
      </w:r>
      <w:proofErr w:type="spellEnd"/>
      <w:r w:rsidR="00F2298D" w:rsidRPr="009106D3">
        <w:rPr>
          <w:sz w:val="24"/>
          <w:szCs w:val="24"/>
        </w:rPr>
        <w:t>.</w:t>
      </w:r>
    </w:p>
    <w:p w:rsidR="00C22D1D" w:rsidRPr="009106D3" w:rsidRDefault="00C22D1D" w:rsidP="00C22D1D">
      <w:pPr>
        <w:pStyle w:val="21"/>
        <w:ind w:firstLine="720"/>
        <w:rPr>
          <w:sz w:val="24"/>
          <w:szCs w:val="24"/>
        </w:rPr>
      </w:pPr>
      <w:r w:rsidRPr="009106D3">
        <w:rPr>
          <w:sz w:val="24"/>
          <w:szCs w:val="24"/>
        </w:rPr>
        <w:t xml:space="preserve">Несоблюдение требований Порядка № 449-п в части допуска к участию в конкурсном отборе и необоснованный возврат отчетов привели к увеличению просроченной дебиторской задолженности Комитета на конец отчетного </w:t>
      </w:r>
      <w:proofErr w:type="gramStart"/>
      <w:r w:rsidRPr="009106D3">
        <w:rPr>
          <w:sz w:val="24"/>
          <w:szCs w:val="24"/>
        </w:rPr>
        <w:t>периода</w:t>
      </w:r>
      <w:proofErr w:type="gramEnd"/>
      <w:r w:rsidRPr="009106D3">
        <w:rPr>
          <w:sz w:val="24"/>
          <w:szCs w:val="24"/>
        </w:rPr>
        <w:t xml:space="preserve"> что свидетельствует о ненадлежащей организации работы Комитета по осуществлению полномочий, установленных п.3 ч.1 ст. 162 Бюджетного кодекса РФ, в части  осуществления контроля за результативным и целевым использованием грантов. </w:t>
      </w:r>
    </w:p>
    <w:p w:rsidR="00FF478B" w:rsidRPr="009106D3" w:rsidRDefault="00E24D30" w:rsidP="00FF478B">
      <w:pPr>
        <w:pStyle w:val="21"/>
        <w:ind w:firstLine="720"/>
        <w:rPr>
          <w:sz w:val="24"/>
          <w:szCs w:val="24"/>
        </w:rPr>
      </w:pPr>
      <w:r w:rsidRPr="009106D3">
        <w:rPr>
          <w:sz w:val="24"/>
          <w:szCs w:val="24"/>
        </w:rPr>
        <w:t>В результате</w:t>
      </w:r>
      <w:r w:rsidR="00FF478B" w:rsidRPr="009106D3">
        <w:rPr>
          <w:sz w:val="24"/>
          <w:szCs w:val="24"/>
        </w:rPr>
        <w:t xml:space="preserve"> при наличии просроченной дебиторской задолженности по возврату </w:t>
      </w:r>
      <w:r w:rsidR="00FF478B" w:rsidRPr="009106D3">
        <w:rPr>
          <w:sz w:val="24"/>
          <w:szCs w:val="24"/>
        </w:rPr>
        <w:lastRenderedPageBreak/>
        <w:t>грантов в 2019 году осуществлена выдача гр</w:t>
      </w:r>
      <w:r w:rsidR="009C3CC9">
        <w:rPr>
          <w:sz w:val="24"/>
          <w:szCs w:val="24"/>
        </w:rPr>
        <w:t>антов СМИ на общую сумму 35750</w:t>
      </w:r>
      <w:r w:rsidR="00FF478B" w:rsidRPr="009106D3">
        <w:rPr>
          <w:sz w:val="24"/>
          <w:szCs w:val="24"/>
        </w:rPr>
        <w:t xml:space="preserve"> тыс. рублей. </w:t>
      </w:r>
    </w:p>
    <w:p w:rsidR="0005697C" w:rsidRPr="009106D3" w:rsidRDefault="00E24D30" w:rsidP="00872BC3">
      <w:pPr>
        <w:pStyle w:val="21"/>
        <w:ind w:firstLine="720"/>
        <w:rPr>
          <w:sz w:val="24"/>
          <w:szCs w:val="24"/>
        </w:rPr>
      </w:pPr>
      <w:r w:rsidRPr="009106D3">
        <w:rPr>
          <w:sz w:val="24"/>
          <w:szCs w:val="24"/>
        </w:rPr>
        <w:t>Более подробно о п</w:t>
      </w:r>
      <w:r w:rsidR="00B02EB7" w:rsidRPr="009106D3">
        <w:rPr>
          <w:sz w:val="24"/>
          <w:szCs w:val="24"/>
        </w:rPr>
        <w:t>ричин</w:t>
      </w:r>
      <w:r w:rsidRPr="009106D3">
        <w:rPr>
          <w:sz w:val="24"/>
          <w:szCs w:val="24"/>
        </w:rPr>
        <w:t>ах</w:t>
      </w:r>
      <w:r w:rsidR="00B02EB7" w:rsidRPr="009106D3">
        <w:rPr>
          <w:sz w:val="24"/>
          <w:szCs w:val="24"/>
        </w:rPr>
        <w:t xml:space="preserve"> роста в Комитете просроченной дебиторской задолженности </w:t>
      </w:r>
      <w:r w:rsidR="0009040F" w:rsidRPr="009106D3">
        <w:rPr>
          <w:sz w:val="24"/>
          <w:szCs w:val="24"/>
        </w:rPr>
        <w:t xml:space="preserve">в разрезе СМИ </w:t>
      </w:r>
      <w:r w:rsidR="00B02EB7" w:rsidRPr="009106D3">
        <w:rPr>
          <w:sz w:val="24"/>
          <w:szCs w:val="24"/>
        </w:rPr>
        <w:t xml:space="preserve">представлены в </w:t>
      </w:r>
      <w:r w:rsidR="00CD0E3B" w:rsidRPr="009106D3">
        <w:rPr>
          <w:sz w:val="24"/>
          <w:szCs w:val="24"/>
        </w:rPr>
        <w:t>П</w:t>
      </w:r>
      <w:r w:rsidR="00B02EB7" w:rsidRPr="009106D3">
        <w:rPr>
          <w:sz w:val="24"/>
          <w:szCs w:val="24"/>
        </w:rPr>
        <w:t xml:space="preserve">риложении </w:t>
      </w:r>
      <w:r w:rsidR="00CD0E3B" w:rsidRPr="009106D3">
        <w:rPr>
          <w:sz w:val="24"/>
          <w:szCs w:val="24"/>
        </w:rPr>
        <w:t>4.</w:t>
      </w:r>
    </w:p>
    <w:p w:rsidR="004C216A" w:rsidRPr="009106D3" w:rsidRDefault="004C216A" w:rsidP="001E640F">
      <w:pPr>
        <w:spacing w:before="120" w:after="120"/>
        <w:jc w:val="center"/>
        <w:rPr>
          <w:i/>
          <w:u w:val="single"/>
        </w:rPr>
      </w:pPr>
      <w:r w:rsidRPr="009106D3">
        <w:rPr>
          <w:i/>
          <w:u w:val="single"/>
        </w:rPr>
        <w:t>Состояние кредиторской задолженности:</w:t>
      </w:r>
    </w:p>
    <w:p w:rsidR="004C216A" w:rsidRPr="009106D3" w:rsidRDefault="004C216A" w:rsidP="004C216A">
      <w:pPr>
        <w:ind w:firstLine="720"/>
        <w:jc w:val="both"/>
      </w:pPr>
      <w:r w:rsidRPr="009106D3">
        <w:t>Кредиторская задолженность на 01.01.2020 по сравнению с началом 2019 года уменьшилась на 1,6 % и составила 672,2 тыс. рублей. Просроченная кредиторская задолженность у Комитета отсутствует.</w:t>
      </w:r>
    </w:p>
    <w:p w:rsidR="00FD1405" w:rsidRPr="009106D3" w:rsidRDefault="004C216A" w:rsidP="00FD1405">
      <w:pPr>
        <w:tabs>
          <w:tab w:val="left" w:pos="709"/>
        </w:tabs>
        <w:ind w:firstLine="709"/>
        <w:jc w:val="both"/>
      </w:pPr>
      <w:r w:rsidRPr="009106D3">
        <w:t xml:space="preserve">Из сведений по кредиторской и дебиторской задолженности (ф. 0503169) и пояснительной записки (ф. 0503160) следует, что кредиторская задолженность образовалась по соглашению о предоставлении субсидии на выполнение государственного задания подведомственным Комитету учреждением – </w:t>
      </w:r>
      <w:r w:rsidRPr="009106D3">
        <w:rPr>
          <w:shd w:val="clear" w:color="auto" w:fill="FFFFFF"/>
        </w:rPr>
        <w:t xml:space="preserve">Государственное бюджетное учреждение «Региональный информационно-аналитический центр» (далее </w:t>
      </w:r>
      <w:r w:rsidRPr="009106D3">
        <w:t xml:space="preserve">ГБУ ВО «РИАЦ») в сумме 672,2 тыс. рублей. </w:t>
      </w:r>
      <w:r w:rsidR="00FD1405" w:rsidRPr="009106D3">
        <w:t>Данная задолженность не является просроченной. Заявки на выделение средств субсидии от ГБУ ВО «РИАЦ» в Комитет не направлялись. Принятие денежных обязательств отсутству</w:t>
      </w:r>
      <w:r w:rsidR="00680769" w:rsidRPr="009106D3">
        <w:t>е</w:t>
      </w:r>
      <w:r w:rsidR="00DB75E2" w:rsidRPr="009106D3">
        <w:t>т, что свидетельствует о необходимости проведения работы по ее списанию.</w:t>
      </w:r>
    </w:p>
    <w:p w:rsidR="004C216A" w:rsidRPr="009106D3" w:rsidRDefault="00E24A8E" w:rsidP="004C216A">
      <w:pPr>
        <w:ind w:firstLine="709"/>
        <w:jc w:val="both"/>
      </w:pPr>
      <w:r w:rsidRPr="009106D3">
        <w:t>По д</w:t>
      </w:r>
      <w:r w:rsidR="00FD1405" w:rsidRPr="009106D3">
        <w:t>а</w:t>
      </w:r>
      <w:r w:rsidRPr="009106D3">
        <w:t>н</w:t>
      </w:r>
      <w:r w:rsidR="00783964" w:rsidRPr="009106D3">
        <w:t>н</w:t>
      </w:r>
      <w:r w:rsidRPr="009106D3">
        <w:t xml:space="preserve">ым бюджетной отчетности ГБУ ВО «РИАЦ» </w:t>
      </w:r>
      <w:r w:rsidR="00FD1405" w:rsidRPr="009106D3">
        <w:t xml:space="preserve">средства субсидии не использованы в связи с </w:t>
      </w:r>
      <w:r w:rsidR="004C216A" w:rsidRPr="009106D3">
        <w:t>экономи</w:t>
      </w:r>
      <w:r w:rsidR="00FD1405" w:rsidRPr="009106D3">
        <w:t>ей</w:t>
      </w:r>
      <w:r w:rsidR="004C216A" w:rsidRPr="009106D3">
        <w:t xml:space="preserve"> по оплате труда и страховым взносам, ваканси</w:t>
      </w:r>
      <w:r w:rsidR="001E640F" w:rsidRPr="009106D3">
        <w:t>ей</w:t>
      </w:r>
      <w:r w:rsidR="004C216A" w:rsidRPr="009106D3">
        <w:t xml:space="preserve"> по должности «специалист по кадрам» по квоте для инвалидов на сумму 645,1 тыс. руб.</w:t>
      </w:r>
      <w:r w:rsidR="00FD1405" w:rsidRPr="009106D3">
        <w:t>, а также э</w:t>
      </w:r>
      <w:r w:rsidR="004C216A" w:rsidRPr="009106D3">
        <w:t>кономи</w:t>
      </w:r>
      <w:r w:rsidR="00FD1405" w:rsidRPr="009106D3">
        <w:t>ей</w:t>
      </w:r>
      <w:r w:rsidR="004C216A" w:rsidRPr="009106D3">
        <w:t xml:space="preserve"> энергопотребления на сумму 2</w:t>
      </w:r>
      <w:r w:rsidR="00FD1405" w:rsidRPr="009106D3">
        <w:t>7</w:t>
      </w:r>
      <w:r w:rsidR="004C216A" w:rsidRPr="009106D3">
        <w:t>,</w:t>
      </w:r>
      <w:r w:rsidR="00FD1405" w:rsidRPr="009106D3">
        <w:t>1</w:t>
      </w:r>
      <w:r w:rsidR="004C216A" w:rsidRPr="009106D3">
        <w:t xml:space="preserve"> тыс. рублей.</w:t>
      </w:r>
    </w:p>
    <w:p w:rsidR="004D4499" w:rsidRPr="009106D3" w:rsidRDefault="004D4499" w:rsidP="00FD1405">
      <w:pPr>
        <w:tabs>
          <w:tab w:val="left" w:pos="709"/>
        </w:tabs>
        <w:spacing w:before="120" w:after="120"/>
        <w:jc w:val="center"/>
        <w:rPr>
          <w:b/>
        </w:rPr>
      </w:pPr>
      <w:r w:rsidRPr="009106D3">
        <w:rPr>
          <w:b/>
        </w:rPr>
        <w:t xml:space="preserve">Исполнение государственных </w:t>
      </w:r>
      <w:r w:rsidR="00680769" w:rsidRPr="009106D3">
        <w:rPr>
          <w:b/>
        </w:rPr>
        <w:t xml:space="preserve">и </w:t>
      </w:r>
      <w:r w:rsidRPr="009106D3">
        <w:rPr>
          <w:b/>
        </w:rPr>
        <w:t>ведомственных программ</w:t>
      </w:r>
      <w:r w:rsidR="001E640F" w:rsidRPr="009106D3">
        <w:rPr>
          <w:b/>
        </w:rPr>
        <w:t xml:space="preserve"> </w:t>
      </w:r>
      <w:r w:rsidRPr="009106D3">
        <w:rPr>
          <w:b/>
        </w:rPr>
        <w:t>Волгоградской области</w:t>
      </w:r>
    </w:p>
    <w:p w:rsidR="00534268" w:rsidRPr="009106D3" w:rsidRDefault="00534268" w:rsidP="001E640F">
      <w:pPr>
        <w:autoSpaceDE w:val="0"/>
        <w:autoSpaceDN w:val="0"/>
        <w:adjustRightInd w:val="0"/>
        <w:spacing w:before="120"/>
        <w:ind w:firstLine="709"/>
        <w:jc w:val="both"/>
      </w:pPr>
      <w:r w:rsidRPr="009106D3">
        <w:t>В течение 2019 года Комитет выполнял мероприятия по двум государственным и одной ведомственн</w:t>
      </w:r>
      <w:r w:rsidR="00A71682" w:rsidRPr="009106D3">
        <w:t>ой целевой программам.</w:t>
      </w:r>
    </w:p>
    <w:p w:rsidR="00534268" w:rsidRPr="009106D3" w:rsidRDefault="00534268" w:rsidP="00534268">
      <w:pPr>
        <w:autoSpaceDE w:val="0"/>
        <w:autoSpaceDN w:val="0"/>
        <w:adjustRightInd w:val="0"/>
        <w:ind w:firstLine="709"/>
        <w:jc w:val="both"/>
      </w:pPr>
      <w:r w:rsidRPr="009106D3">
        <w:t xml:space="preserve">Обобщенные данные  по исполнению программ представлены в таблице </w:t>
      </w:r>
      <w:r w:rsidR="00784EE2" w:rsidRPr="009106D3">
        <w:t>3</w:t>
      </w:r>
      <w:r w:rsidRPr="009106D3">
        <w:t>.</w:t>
      </w:r>
    </w:p>
    <w:p w:rsidR="00534268" w:rsidRPr="009106D3" w:rsidRDefault="00534268" w:rsidP="00534268">
      <w:pPr>
        <w:autoSpaceDE w:val="0"/>
        <w:autoSpaceDN w:val="0"/>
        <w:adjustRightInd w:val="0"/>
        <w:ind w:firstLine="709"/>
        <w:jc w:val="right"/>
      </w:pPr>
      <w:r w:rsidRPr="009106D3">
        <w:t xml:space="preserve">Таблица </w:t>
      </w:r>
      <w:r w:rsidR="00784EE2" w:rsidRPr="009106D3">
        <w:t>3</w:t>
      </w:r>
      <w:r w:rsidRPr="009106D3">
        <w:t>, тыс. руб.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4"/>
        <w:gridCol w:w="1849"/>
        <w:gridCol w:w="1559"/>
        <w:gridCol w:w="1418"/>
        <w:gridCol w:w="1276"/>
        <w:gridCol w:w="1203"/>
      </w:tblGrid>
      <w:tr w:rsidR="00534268" w:rsidRPr="009106D3" w:rsidTr="00963896">
        <w:trPr>
          <w:jc w:val="center"/>
        </w:trPr>
        <w:tc>
          <w:tcPr>
            <w:tcW w:w="2474" w:type="dxa"/>
            <w:vAlign w:val="center"/>
          </w:tcPr>
          <w:p w:rsidR="00534268" w:rsidRPr="009106D3" w:rsidRDefault="00534268" w:rsidP="000617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106D3">
              <w:rPr>
                <w:i/>
                <w:sz w:val="18"/>
                <w:szCs w:val="18"/>
              </w:rPr>
              <w:t>Наименование ГП</w:t>
            </w:r>
          </w:p>
        </w:tc>
        <w:tc>
          <w:tcPr>
            <w:tcW w:w="1849" w:type="dxa"/>
            <w:vAlign w:val="center"/>
          </w:tcPr>
          <w:p w:rsidR="00534268" w:rsidRPr="009106D3" w:rsidRDefault="00534268" w:rsidP="000617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106D3">
              <w:rPr>
                <w:i/>
                <w:sz w:val="18"/>
                <w:szCs w:val="18"/>
              </w:rPr>
              <w:t xml:space="preserve">Утверждено программой </w:t>
            </w:r>
          </w:p>
          <w:p w:rsidR="00534268" w:rsidRPr="009106D3" w:rsidRDefault="00534268" w:rsidP="000617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106D3">
              <w:rPr>
                <w:i/>
                <w:sz w:val="18"/>
                <w:szCs w:val="18"/>
              </w:rPr>
              <w:t>(за счет областного бюджета)</w:t>
            </w:r>
          </w:p>
        </w:tc>
        <w:tc>
          <w:tcPr>
            <w:tcW w:w="1559" w:type="dxa"/>
            <w:vAlign w:val="center"/>
          </w:tcPr>
          <w:p w:rsidR="00534268" w:rsidRPr="009106D3" w:rsidRDefault="00534268" w:rsidP="000617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106D3">
              <w:rPr>
                <w:i/>
                <w:sz w:val="18"/>
                <w:szCs w:val="18"/>
              </w:rPr>
              <w:t>Утверждено Законом об областном бюджете</w:t>
            </w:r>
          </w:p>
        </w:tc>
        <w:tc>
          <w:tcPr>
            <w:tcW w:w="1418" w:type="dxa"/>
            <w:vAlign w:val="center"/>
          </w:tcPr>
          <w:p w:rsidR="00534268" w:rsidRPr="009106D3" w:rsidRDefault="00534268" w:rsidP="000617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106D3">
              <w:rPr>
                <w:i/>
                <w:sz w:val="18"/>
                <w:szCs w:val="18"/>
              </w:rPr>
              <w:t>Утверждено бюджетной росписью</w:t>
            </w:r>
          </w:p>
        </w:tc>
        <w:tc>
          <w:tcPr>
            <w:tcW w:w="1276" w:type="dxa"/>
            <w:vAlign w:val="center"/>
          </w:tcPr>
          <w:p w:rsidR="00534268" w:rsidRPr="009106D3" w:rsidRDefault="00534268" w:rsidP="000617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106D3">
              <w:rPr>
                <w:i/>
                <w:sz w:val="18"/>
                <w:szCs w:val="18"/>
              </w:rPr>
              <w:t>Исполнено</w:t>
            </w:r>
          </w:p>
        </w:tc>
        <w:tc>
          <w:tcPr>
            <w:tcW w:w="1203" w:type="dxa"/>
            <w:vAlign w:val="center"/>
          </w:tcPr>
          <w:p w:rsidR="00534268" w:rsidRPr="009106D3" w:rsidRDefault="00534268" w:rsidP="0006177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106D3">
              <w:rPr>
                <w:i/>
                <w:sz w:val="18"/>
                <w:szCs w:val="18"/>
              </w:rPr>
              <w:t>Исполнено от бюджетной росписи</w:t>
            </w:r>
            <w:proofErr w:type="gramStart"/>
            <w:r w:rsidRPr="009106D3">
              <w:rPr>
                <w:i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534268" w:rsidRPr="009106D3" w:rsidTr="00963896">
        <w:trPr>
          <w:trHeight w:val="40"/>
          <w:jc w:val="center"/>
        </w:trPr>
        <w:tc>
          <w:tcPr>
            <w:tcW w:w="2474" w:type="dxa"/>
            <w:vAlign w:val="center"/>
          </w:tcPr>
          <w:p w:rsidR="00534268" w:rsidRPr="009106D3" w:rsidRDefault="00534268" w:rsidP="0006177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06D3">
              <w:rPr>
                <w:sz w:val="16"/>
                <w:szCs w:val="16"/>
              </w:rPr>
              <w:t>ГП «Управление государственными финансами Волгоградской области»</w:t>
            </w:r>
          </w:p>
        </w:tc>
        <w:tc>
          <w:tcPr>
            <w:tcW w:w="1849" w:type="dxa"/>
            <w:vAlign w:val="center"/>
          </w:tcPr>
          <w:p w:rsidR="00534268" w:rsidRPr="009106D3" w:rsidRDefault="00534268" w:rsidP="00265C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06D3">
              <w:rPr>
                <w:sz w:val="18"/>
                <w:szCs w:val="18"/>
              </w:rPr>
              <w:t>1500</w:t>
            </w:r>
          </w:p>
        </w:tc>
        <w:tc>
          <w:tcPr>
            <w:tcW w:w="1559" w:type="dxa"/>
            <w:vAlign w:val="center"/>
          </w:tcPr>
          <w:p w:rsidR="00534268" w:rsidRPr="009106D3" w:rsidRDefault="00534268" w:rsidP="00FD14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06D3">
              <w:rPr>
                <w:sz w:val="18"/>
                <w:szCs w:val="18"/>
              </w:rPr>
              <w:t>1500</w:t>
            </w:r>
          </w:p>
        </w:tc>
        <w:tc>
          <w:tcPr>
            <w:tcW w:w="1418" w:type="dxa"/>
            <w:vAlign w:val="center"/>
          </w:tcPr>
          <w:p w:rsidR="00534268" w:rsidRPr="009106D3" w:rsidRDefault="00534268" w:rsidP="00FD14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06D3">
              <w:rPr>
                <w:sz w:val="18"/>
                <w:szCs w:val="18"/>
              </w:rPr>
              <w:t>1500</w:t>
            </w:r>
          </w:p>
        </w:tc>
        <w:tc>
          <w:tcPr>
            <w:tcW w:w="1276" w:type="dxa"/>
            <w:vAlign w:val="center"/>
          </w:tcPr>
          <w:p w:rsidR="00534268" w:rsidRPr="009106D3" w:rsidRDefault="00534268" w:rsidP="00FD14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06D3">
              <w:rPr>
                <w:sz w:val="18"/>
                <w:szCs w:val="18"/>
              </w:rPr>
              <w:t>1200</w:t>
            </w:r>
          </w:p>
        </w:tc>
        <w:tc>
          <w:tcPr>
            <w:tcW w:w="1203" w:type="dxa"/>
            <w:vAlign w:val="center"/>
          </w:tcPr>
          <w:p w:rsidR="00534268" w:rsidRPr="009106D3" w:rsidRDefault="00534268" w:rsidP="000617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06D3">
              <w:rPr>
                <w:sz w:val="18"/>
                <w:szCs w:val="18"/>
              </w:rPr>
              <w:t>80</w:t>
            </w:r>
          </w:p>
        </w:tc>
      </w:tr>
      <w:tr w:rsidR="00534268" w:rsidRPr="009106D3" w:rsidTr="00963896">
        <w:trPr>
          <w:trHeight w:val="60"/>
          <w:jc w:val="center"/>
        </w:trPr>
        <w:tc>
          <w:tcPr>
            <w:tcW w:w="2474" w:type="dxa"/>
            <w:vAlign w:val="center"/>
          </w:tcPr>
          <w:p w:rsidR="00534268" w:rsidRPr="009106D3" w:rsidRDefault="00534268" w:rsidP="0006177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06D3">
              <w:rPr>
                <w:sz w:val="16"/>
                <w:szCs w:val="16"/>
              </w:rPr>
              <w:t>ГП «Развитие гражданского общества на территории Волгоградской области»</w:t>
            </w:r>
          </w:p>
        </w:tc>
        <w:tc>
          <w:tcPr>
            <w:tcW w:w="1849" w:type="dxa"/>
            <w:vAlign w:val="center"/>
          </w:tcPr>
          <w:p w:rsidR="00534268" w:rsidRPr="009106D3" w:rsidRDefault="00534268" w:rsidP="00265C6D">
            <w:pPr>
              <w:jc w:val="center"/>
              <w:rPr>
                <w:sz w:val="18"/>
                <w:szCs w:val="18"/>
              </w:rPr>
            </w:pPr>
            <w:r w:rsidRPr="009106D3">
              <w:rPr>
                <w:sz w:val="18"/>
                <w:szCs w:val="18"/>
              </w:rPr>
              <w:t>12018,2</w:t>
            </w:r>
          </w:p>
        </w:tc>
        <w:tc>
          <w:tcPr>
            <w:tcW w:w="1559" w:type="dxa"/>
            <w:vAlign w:val="center"/>
          </w:tcPr>
          <w:p w:rsidR="00534268" w:rsidRPr="009106D3" w:rsidRDefault="00534268" w:rsidP="00265C6D">
            <w:pPr>
              <w:jc w:val="center"/>
              <w:rPr>
                <w:sz w:val="18"/>
                <w:szCs w:val="18"/>
              </w:rPr>
            </w:pPr>
            <w:r w:rsidRPr="009106D3">
              <w:rPr>
                <w:sz w:val="18"/>
                <w:szCs w:val="18"/>
              </w:rPr>
              <w:t>12018,2</w:t>
            </w:r>
          </w:p>
        </w:tc>
        <w:tc>
          <w:tcPr>
            <w:tcW w:w="1418" w:type="dxa"/>
            <w:vAlign w:val="center"/>
          </w:tcPr>
          <w:p w:rsidR="00534268" w:rsidRPr="009106D3" w:rsidRDefault="00534268" w:rsidP="00265C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06D3">
              <w:rPr>
                <w:sz w:val="18"/>
                <w:szCs w:val="18"/>
              </w:rPr>
              <w:t>11739,2</w:t>
            </w:r>
          </w:p>
        </w:tc>
        <w:tc>
          <w:tcPr>
            <w:tcW w:w="1276" w:type="dxa"/>
            <w:vAlign w:val="center"/>
          </w:tcPr>
          <w:p w:rsidR="00534268" w:rsidRPr="009106D3" w:rsidRDefault="00534268" w:rsidP="00265C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06D3">
              <w:rPr>
                <w:sz w:val="18"/>
                <w:szCs w:val="18"/>
              </w:rPr>
              <w:t>10752,2</w:t>
            </w:r>
          </w:p>
        </w:tc>
        <w:tc>
          <w:tcPr>
            <w:tcW w:w="1203" w:type="dxa"/>
            <w:vAlign w:val="center"/>
          </w:tcPr>
          <w:p w:rsidR="00534268" w:rsidRPr="009106D3" w:rsidRDefault="00534268" w:rsidP="00680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06D3">
              <w:rPr>
                <w:sz w:val="18"/>
                <w:szCs w:val="18"/>
              </w:rPr>
              <w:t>91,</w:t>
            </w:r>
            <w:r w:rsidR="00680769" w:rsidRPr="009106D3">
              <w:rPr>
                <w:sz w:val="18"/>
                <w:szCs w:val="18"/>
              </w:rPr>
              <w:t>6</w:t>
            </w:r>
          </w:p>
        </w:tc>
      </w:tr>
      <w:tr w:rsidR="00534268" w:rsidRPr="009106D3" w:rsidTr="00963896">
        <w:trPr>
          <w:trHeight w:val="60"/>
          <w:jc w:val="center"/>
        </w:trPr>
        <w:tc>
          <w:tcPr>
            <w:tcW w:w="2474" w:type="dxa"/>
            <w:vAlign w:val="center"/>
          </w:tcPr>
          <w:p w:rsidR="00534268" w:rsidRPr="009106D3" w:rsidRDefault="00534268" w:rsidP="0006177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06D3">
              <w:rPr>
                <w:sz w:val="16"/>
                <w:szCs w:val="16"/>
              </w:rPr>
              <w:t>ВЦП «Реализация государственной информационной политики на территории Волгоградской области …» на 2019 - 2021 годы</w:t>
            </w:r>
          </w:p>
        </w:tc>
        <w:tc>
          <w:tcPr>
            <w:tcW w:w="1849" w:type="dxa"/>
            <w:vAlign w:val="center"/>
          </w:tcPr>
          <w:p w:rsidR="00534268" w:rsidRPr="009106D3" w:rsidRDefault="00534268" w:rsidP="00265C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06D3">
              <w:rPr>
                <w:sz w:val="18"/>
                <w:szCs w:val="18"/>
              </w:rPr>
              <w:t>308999,6</w:t>
            </w:r>
          </w:p>
        </w:tc>
        <w:tc>
          <w:tcPr>
            <w:tcW w:w="1559" w:type="dxa"/>
            <w:vAlign w:val="center"/>
          </w:tcPr>
          <w:p w:rsidR="00534268" w:rsidRPr="009106D3" w:rsidRDefault="00534268" w:rsidP="00265C6D">
            <w:pPr>
              <w:jc w:val="center"/>
              <w:rPr>
                <w:sz w:val="18"/>
                <w:szCs w:val="18"/>
              </w:rPr>
            </w:pPr>
            <w:r w:rsidRPr="009106D3">
              <w:rPr>
                <w:sz w:val="18"/>
                <w:szCs w:val="18"/>
              </w:rPr>
              <w:t>308999,6</w:t>
            </w:r>
          </w:p>
        </w:tc>
        <w:tc>
          <w:tcPr>
            <w:tcW w:w="1418" w:type="dxa"/>
            <w:vAlign w:val="center"/>
          </w:tcPr>
          <w:p w:rsidR="00534268" w:rsidRPr="009106D3" w:rsidRDefault="00534268" w:rsidP="00265C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06D3">
              <w:rPr>
                <w:sz w:val="18"/>
                <w:szCs w:val="18"/>
              </w:rPr>
              <w:t>271245,8</w:t>
            </w:r>
          </w:p>
        </w:tc>
        <w:tc>
          <w:tcPr>
            <w:tcW w:w="1276" w:type="dxa"/>
            <w:vAlign w:val="center"/>
          </w:tcPr>
          <w:p w:rsidR="00534268" w:rsidRPr="009106D3" w:rsidRDefault="00534268" w:rsidP="00265C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06D3">
              <w:rPr>
                <w:sz w:val="18"/>
                <w:szCs w:val="18"/>
              </w:rPr>
              <w:t>268473,6</w:t>
            </w:r>
          </w:p>
        </w:tc>
        <w:tc>
          <w:tcPr>
            <w:tcW w:w="1203" w:type="dxa"/>
            <w:vAlign w:val="center"/>
          </w:tcPr>
          <w:p w:rsidR="00534268" w:rsidRPr="009106D3" w:rsidRDefault="00680769" w:rsidP="000617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06D3">
              <w:rPr>
                <w:sz w:val="18"/>
                <w:szCs w:val="18"/>
              </w:rPr>
              <w:t>99</w:t>
            </w:r>
          </w:p>
        </w:tc>
      </w:tr>
      <w:tr w:rsidR="00534268" w:rsidRPr="009106D3" w:rsidTr="00963896">
        <w:trPr>
          <w:trHeight w:val="229"/>
          <w:jc w:val="center"/>
        </w:trPr>
        <w:tc>
          <w:tcPr>
            <w:tcW w:w="2474" w:type="dxa"/>
            <w:vAlign w:val="center"/>
          </w:tcPr>
          <w:p w:rsidR="00534268" w:rsidRPr="009106D3" w:rsidRDefault="00534268" w:rsidP="000617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106D3">
              <w:rPr>
                <w:b/>
                <w:sz w:val="18"/>
                <w:szCs w:val="18"/>
              </w:rPr>
              <w:t>Итого по ГП и ВЦП:</w:t>
            </w:r>
          </w:p>
        </w:tc>
        <w:tc>
          <w:tcPr>
            <w:tcW w:w="1849" w:type="dxa"/>
            <w:vAlign w:val="center"/>
          </w:tcPr>
          <w:p w:rsidR="00534268" w:rsidRPr="009106D3" w:rsidRDefault="00BD6219" w:rsidP="00265C6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106D3">
              <w:rPr>
                <w:b/>
                <w:sz w:val="18"/>
                <w:szCs w:val="18"/>
              </w:rPr>
              <w:t>322517,8</w:t>
            </w:r>
          </w:p>
        </w:tc>
        <w:tc>
          <w:tcPr>
            <w:tcW w:w="1559" w:type="dxa"/>
            <w:vAlign w:val="center"/>
          </w:tcPr>
          <w:p w:rsidR="00534268" w:rsidRPr="009106D3" w:rsidRDefault="00534268" w:rsidP="00265C6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106D3">
              <w:rPr>
                <w:b/>
                <w:sz w:val="18"/>
                <w:szCs w:val="18"/>
              </w:rPr>
              <w:t>322517,8</w:t>
            </w:r>
          </w:p>
        </w:tc>
        <w:tc>
          <w:tcPr>
            <w:tcW w:w="1418" w:type="dxa"/>
            <w:vAlign w:val="center"/>
          </w:tcPr>
          <w:p w:rsidR="00534268" w:rsidRPr="009106D3" w:rsidRDefault="00534268" w:rsidP="00265C6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106D3">
              <w:rPr>
                <w:b/>
                <w:sz w:val="18"/>
                <w:szCs w:val="18"/>
              </w:rPr>
              <w:t>284485,0</w:t>
            </w:r>
          </w:p>
        </w:tc>
        <w:tc>
          <w:tcPr>
            <w:tcW w:w="1276" w:type="dxa"/>
            <w:vAlign w:val="center"/>
          </w:tcPr>
          <w:p w:rsidR="00534268" w:rsidRPr="009106D3" w:rsidRDefault="00534268" w:rsidP="00265C6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106D3">
              <w:rPr>
                <w:b/>
                <w:sz w:val="18"/>
                <w:szCs w:val="18"/>
              </w:rPr>
              <w:t>280425,8</w:t>
            </w:r>
          </w:p>
        </w:tc>
        <w:tc>
          <w:tcPr>
            <w:tcW w:w="1203" w:type="dxa"/>
            <w:vAlign w:val="center"/>
          </w:tcPr>
          <w:p w:rsidR="00534268" w:rsidRPr="009106D3" w:rsidRDefault="00680769" w:rsidP="0006177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106D3">
              <w:rPr>
                <w:b/>
                <w:sz w:val="18"/>
                <w:szCs w:val="18"/>
              </w:rPr>
              <w:t>98,6</w:t>
            </w:r>
          </w:p>
        </w:tc>
      </w:tr>
    </w:tbl>
    <w:p w:rsidR="00534268" w:rsidRPr="009106D3" w:rsidRDefault="00534268" w:rsidP="00963896">
      <w:pPr>
        <w:spacing w:before="120" w:after="120"/>
        <w:jc w:val="center"/>
        <w:rPr>
          <w:i/>
          <w:u w:val="single"/>
        </w:rPr>
      </w:pPr>
      <w:r w:rsidRPr="009106D3">
        <w:rPr>
          <w:i/>
          <w:u w:val="single"/>
        </w:rPr>
        <w:t>ГП  Управление государственными финансами Волгоградской области</w:t>
      </w:r>
    </w:p>
    <w:p w:rsidR="00534268" w:rsidRPr="009106D3" w:rsidRDefault="00534268" w:rsidP="00534268">
      <w:pPr>
        <w:ind w:firstLine="720"/>
        <w:jc w:val="both"/>
      </w:pPr>
      <w:r w:rsidRPr="009106D3">
        <w:t>В рамках реализации ГП Волгоградской области «Управление государственными финансами Волгоградской области» по подпрограмме «Повышение финансовой грамотности населения Волгоградской области» Комитету бюджетной росписью было предусмотрено 1500,0 тыс. руб., и</w:t>
      </w:r>
      <w:r w:rsidR="00265C6D">
        <w:t>сполнение составило 1200</w:t>
      </w:r>
      <w:r w:rsidRPr="009106D3">
        <w:t xml:space="preserve"> тыс. руб. или 80 % от утвержденной суммы. По состоянию на 01.01.2020 в Комитете образовалась кредитор</w:t>
      </w:r>
      <w:r w:rsidR="00265C6D">
        <w:t>ская задолженность в сумме 300</w:t>
      </w:r>
      <w:r w:rsidRPr="009106D3">
        <w:t xml:space="preserve"> тыс. рублей. </w:t>
      </w:r>
    </w:p>
    <w:p w:rsidR="00534268" w:rsidRPr="009106D3" w:rsidRDefault="00534268" w:rsidP="00534268">
      <w:pPr>
        <w:ind w:firstLine="720"/>
        <w:jc w:val="both"/>
      </w:pPr>
      <w:r w:rsidRPr="009106D3">
        <w:t>Данная задолженность сложилась от предоставления субсидии СО НКО на проведение мероприятий, направленных на повышение финансовой гра</w:t>
      </w:r>
      <w:r w:rsidR="007F4C18" w:rsidRPr="009106D3">
        <w:t xml:space="preserve">мотности населения. Причиной </w:t>
      </w:r>
      <w:proofErr w:type="spellStart"/>
      <w:r w:rsidR="007F4C18" w:rsidRPr="009106D3">
        <w:t>не</w:t>
      </w:r>
      <w:r w:rsidRPr="009106D3">
        <w:t>освоения</w:t>
      </w:r>
      <w:proofErr w:type="spellEnd"/>
      <w:r w:rsidRPr="009106D3">
        <w:t xml:space="preserve"> денежных сре</w:t>
      </w:r>
      <w:proofErr w:type="gramStart"/>
      <w:r w:rsidRPr="009106D3">
        <w:t>дств ст</w:t>
      </w:r>
      <w:proofErr w:type="gramEnd"/>
      <w:r w:rsidRPr="009106D3">
        <w:t>али неверно предоставленные для расчетов реквизиты межрегиональной общественной организацией «Кредитный правозащитник». Денежные средства в сумме 300,0 тыс. руб. не поступили на счет подрядчика, а возвращены на лицевой счет Комитета 31.12.2019 года.</w:t>
      </w:r>
      <w:r w:rsidR="007F4C18" w:rsidRPr="009106D3">
        <w:t xml:space="preserve"> В феврале 2020 год, после уточнения банковских реквизитов, субсидия </w:t>
      </w:r>
      <w:r w:rsidR="00912F5B" w:rsidRPr="009106D3">
        <w:t xml:space="preserve">получателю </w:t>
      </w:r>
      <w:r w:rsidR="007F4C18" w:rsidRPr="009106D3">
        <w:t xml:space="preserve">перечислена в полном объеме. </w:t>
      </w:r>
    </w:p>
    <w:p w:rsidR="00534268" w:rsidRPr="009106D3" w:rsidRDefault="00534268" w:rsidP="00534268">
      <w:pPr>
        <w:ind w:firstLine="720"/>
        <w:jc w:val="both"/>
      </w:pPr>
      <w:r w:rsidRPr="009106D3">
        <w:lastRenderedPageBreak/>
        <w:t xml:space="preserve">В 2019 году по данной подпрограмме определено 2 </w:t>
      </w:r>
      <w:proofErr w:type="gramStart"/>
      <w:r w:rsidRPr="009106D3">
        <w:t>целевых</w:t>
      </w:r>
      <w:proofErr w:type="gramEnd"/>
      <w:r w:rsidRPr="009106D3">
        <w:t xml:space="preserve"> показателя. По данным Комитета, оба показателя выполнены на 100%, а именно:</w:t>
      </w:r>
    </w:p>
    <w:p w:rsidR="00534268" w:rsidRPr="009106D3" w:rsidRDefault="00534268" w:rsidP="00534268">
      <w:pPr>
        <w:ind w:firstLine="720"/>
        <w:jc w:val="both"/>
      </w:pPr>
      <w:r w:rsidRPr="009106D3">
        <w:t>-по количеству граждан, охваченных консультационной поддержкой по вопросам финансовой грамотности</w:t>
      </w:r>
      <w:r w:rsidR="007F4C18" w:rsidRPr="009106D3">
        <w:t>,</w:t>
      </w:r>
      <w:r w:rsidRPr="009106D3">
        <w:t xml:space="preserve"> – 1000 человек (план - 1000 человек);</w:t>
      </w:r>
    </w:p>
    <w:p w:rsidR="00CB32E4" w:rsidRPr="009106D3" w:rsidRDefault="00534268" w:rsidP="002F25A1">
      <w:pPr>
        <w:ind w:firstLine="720"/>
        <w:jc w:val="both"/>
      </w:pPr>
      <w:r w:rsidRPr="009106D3">
        <w:t>-по количеству СО НКО, получивших финансовую поддержку на проведение мероприятий, направленных на повышение финансовой грамотности населения</w:t>
      </w:r>
      <w:r w:rsidR="007F4C18" w:rsidRPr="009106D3">
        <w:t>,</w:t>
      </w:r>
      <w:r w:rsidRPr="009106D3">
        <w:t xml:space="preserve"> Комитетом заключено 5 соглашений (план - 5 единиц) со сроком исполнения в 2020 году. </w:t>
      </w:r>
    </w:p>
    <w:p w:rsidR="008E17C7" w:rsidRPr="009106D3" w:rsidRDefault="008E17C7" w:rsidP="002F25A1">
      <w:pPr>
        <w:ind w:firstLine="720"/>
        <w:jc w:val="both"/>
      </w:pPr>
      <w:r w:rsidRPr="009106D3">
        <w:t>Однако при заключении соглашений с 5 СО НКО, фактически финансовую поддержку в 2019 году получили 4 СО НКО и, как следствие, целевой показатель не был выполнен в отчетном периоде.</w:t>
      </w:r>
    </w:p>
    <w:p w:rsidR="00534268" w:rsidRPr="009106D3" w:rsidRDefault="00534268" w:rsidP="00E11838">
      <w:pPr>
        <w:spacing w:before="120"/>
        <w:jc w:val="center"/>
        <w:rPr>
          <w:i/>
          <w:u w:val="single"/>
        </w:rPr>
      </w:pPr>
      <w:r w:rsidRPr="009106D3">
        <w:rPr>
          <w:i/>
          <w:u w:val="single"/>
        </w:rPr>
        <w:t>ГП Развитие гражданского общества на территории Волгоградской области</w:t>
      </w:r>
    </w:p>
    <w:p w:rsidR="00534268" w:rsidRPr="009106D3" w:rsidRDefault="00534268" w:rsidP="00E11838">
      <w:pPr>
        <w:ind w:firstLine="709"/>
        <w:jc w:val="both"/>
        <w:rPr>
          <w:rFonts w:eastAsia="Calibri"/>
        </w:rPr>
      </w:pPr>
      <w:r w:rsidRPr="009106D3">
        <w:rPr>
          <w:rFonts w:eastAsia="Calibri"/>
        </w:rPr>
        <w:t xml:space="preserve">Государственная программа утверждена постановлением Администрации Волгоградской области от 26.10.2017 № 561-п </w:t>
      </w:r>
      <w:r w:rsidRPr="009106D3">
        <w:t>«</w:t>
      </w:r>
      <w:r w:rsidRPr="009106D3">
        <w:rPr>
          <w:rFonts w:eastAsia="Calibri"/>
        </w:rPr>
        <w:t xml:space="preserve">Об утверждении государственной программы Волгоградской области </w:t>
      </w:r>
      <w:r w:rsidRPr="009106D3">
        <w:t>«</w:t>
      </w:r>
      <w:r w:rsidRPr="009106D3">
        <w:rPr>
          <w:rFonts w:eastAsia="Calibri"/>
        </w:rPr>
        <w:t>Развитие гражданского общества на территории Волгоградской области</w:t>
      </w:r>
      <w:r w:rsidRPr="009106D3">
        <w:t>»</w:t>
      </w:r>
      <w:r w:rsidRPr="009106D3">
        <w:rPr>
          <w:rFonts w:eastAsia="Calibri"/>
        </w:rPr>
        <w:t xml:space="preserve"> и включает в себя четыре подпрограммы:</w:t>
      </w:r>
    </w:p>
    <w:p w:rsidR="00534268" w:rsidRPr="009106D3" w:rsidRDefault="00534268" w:rsidP="00E11838">
      <w:pPr>
        <w:pStyle w:val="ac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6D3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  <w:r w:rsidRPr="009106D3">
        <w:rPr>
          <w:rFonts w:ascii="Times New Roman" w:hAnsi="Times New Roman"/>
          <w:sz w:val="24"/>
          <w:szCs w:val="24"/>
        </w:rPr>
        <w:t>«</w:t>
      </w:r>
      <w:r w:rsidRPr="009106D3">
        <w:rPr>
          <w:rFonts w:ascii="Times New Roman" w:eastAsia="Calibri" w:hAnsi="Times New Roman" w:cs="Times New Roman"/>
          <w:sz w:val="24"/>
          <w:szCs w:val="24"/>
        </w:rPr>
        <w:t>Государственная поддержка социально ориентированных некоммерческих организаций, осуществляющих деятельность на территории Волгоградской области, и развитие цифровых механизмов взаимодействия общества и власти</w:t>
      </w:r>
      <w:r w:rsidRPr="009106D3">
        <w:rPr>
          <w:rFonts w:ascii="Times New Roman" w:hAnsi="Times New Roman"/>
          <w:sz w:val="24"/>
          <w:szCs w:val="24"/>
        </w:rPr>
        <w:t>»</w:t>
      </w:r>
      <w:r w:rsidRPr="009106D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34268" w:rsidRPr="009106D3" w:rsidRDefault="00534268" w:rsidP="00E11838">
      <w:pPr>
        <w:pStyle w:val="ac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6D3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  <w:r w:rsidRPr="009106D3">
        <w:rPr>
          <w:rFonts w:ascii="Times New Roman" w:hAnsi="Times New Roman"/>
          <w:sz w:val="24"/>
          <w:szCs w:val="24"/>
        </w:rPr>
        <w:t>«</w:t>
      </w:r>
      <w:r w:rsidRPr="009106D3">
        <w:rPr>
          <w:rFonts w:ascii="Times New Roman" w:eastAsia="Calibri" w:hAnsi="Times New Roman" w:cs="Times New Roman"/>
          <w:sz w:val="24"/>
          <w:szCs w:val="24"/>
        </w:rPr>
        <w:t>Развитие и совершенствование системы территориального общественного самоуправления Волгоградской области</w:t>
      </w:r>
      <w:r w:rsidRPr="009106D3">
        <w:rPr>
          <w:rFonts w:ascii="Times New Roman" w:hAnsi="Times New Roman"/>
          <w:sz w:val="24"/>
          <w:szCs w:val="24"/>
        </w:rPr>
        <w:t>»</w:t>
      </w:r>
      <w:r w:rsidRPr="009106D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34268" w:rsidRPr="009106D3" w:rsidRDefault="00534268" w:rsidP="00E11838">
      <w:pPr>
        <w:pStyle w:val="ac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6D3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  <w:r w:rsidRPr="009106D3">
        <w:rPr>
          <w:rFonts w:ascii="Times New Roman" w:hAnsi="Times New Roman"/>
          <w:sz w:val="24"/>
          <w:szCs w:val="24"/>
        </w:rPr>
        <w:t>«</w:t>
      </w:r>
      <w:r w:rsidRPr="009106D3">
        <w:rPr>
          <w:rFonts w:ascii="Times New Roman" w:eastAsia="Calibri" w:hAnsi="Times New Roman" w:cs="Times New Roman"/>
          <w:sz w:val="24"/>
          <w:szCs w:val="24"/>
        </w:rPr>
        <w:t>Реализация государственной национальной политики на территории Волгоградской области</w:t>
      </w:r>
      <w:r w:rsidRPr="009106D3">
        <w:rPr>
          <w:rFonts w:ascii="Times New Roman" w:hAnsi="Times New Roman"/>
          <w:sz w:val="24"/>
          <w:szCs w:val="24"/>
        </w:rPr>
        <w:t>»</w:t>
      </w:r>
      <w:r w:rsidRPr="009106D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34268" w:rsidRPr="009106D3" w:rsidRDefault="00534268" w:rsidP="00E11838">
      <w:pPr>
        <w:pStyle w:val="ac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6D3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  <w:r w:rsidRPr="009106D3">
        <w:rPr>
          <w:rFonts w:ascii="Times New Roman" w:hAnsi="Times New Roman"/>
          <w:sz w:val="24"/>
          <w:szCs w:val="24"/>
        </w:rPr>
        <w:t>«</w:t>
      </w:r>
      <w:r w:rsidRPr="009106D3">
        <w:rPr>
          <w:rFonts w:ascii="Times New Roman" w:eastAsia="Calibri" w:hAnsi="Times New Roman" w:cs="Times New Roman"/>
          <w:sz w:val="24"/>
          <w:szCs w:val="24"/>
        </w:rPr>
        <w:t>Развитие казачества на территории Волгоградской области</w:t>
      </w:r>
      <w:r w:rsidRPr="009106D3">
        <w:rPr>
          <w:rFonts w:ascii="Times New Roman" w:hAnsi="Times New Roman"/>
          <w:sz w:val="24"/>
          <w:szCs w:val="24"/>
        </w:rPr>
        <w:t>»</w:t>
      </w:r>
      <w:r w:rsidRPr="009106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2A02" w:rsidRPr="009106D3" w:rsidRDefault="00982A02" w:rsidP="00E11838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6D3">
        <w:rPr>
          <w:rFonts w:ascii="Times New Roman" w:hAnsi="Times New Roman" w:cs="Times New Roman"/>
          <w:sz w:val="24"/>
          <w:szCs w:val="24"/>
        </w:rPr>
        <w:t xml:space="preserve">Законом об областном бюджете в 2019 году на реализацию </w:t>
      </w:r>
      <w:proofErr w:type="gramStart"/>
      <w:r w:rsidRPr="009106D3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9106D3">
        <w:rPr>
          <w:rFonts w:ascii="Times New Roman" w:hAnsi="Times New Roman" w:cs="Times New Roman"/>
          <w:sz w:val="24"/>
          <w:szCs w:val="24"/>
        </w:rPr>
        <w:t xml:space="preserve"> ГП Комитету утве</w:t>
      </w:r>
      <w:r w:rsidR="00265C6D">
        <w:rPr>
          <w:rFonts w:ascii="Times New Roman" w:hAnsi="Times New Roman" w:cs="Times New Roman"/>
          <w:sz w:val="24"/>
          <w:szCs w:val="24"/>
        </w:rPr>
        <w:t>рждены ассигнования в объеме 12</w:t>
      </w:r>
      <w:r w:rsidRPr="009106D3">
        <w:rPr>
          <w:rFonts w:ascii="Times New Roman" w:hAnsi="Times New Roman" w:cs="Times New Roman"/>
          <w:sz w:val="24"/>
          <w:szCs w:val="24"/>
        </w:rPr>
        <w:t xml:space="preserve">018,2 тыс. рублей. </w:t>
      </w:r>
    </w:p>
    <w:p w:rsidR="00982A02" w:rsidRPr="009106D3" w:rsidRDefault="00982A02" w:rsidP="00E11838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6D3">
        <w:rPr>
          <w:rFonts w:ascii="Times New Roman" w:hAnsi="Times New Roman" w:cs="Times New Roman"/>
          <w:sz w:val="24"/>
          <w:szCs w:val="24"/>
        </w:rPr>
        <w:t>Расходы на реализацию мероприятий предусмотрены только по подпрограмме государственной поддержк</w:t>
      </w:r>
      <w:r w:rsidR="002B62DE" w:rsidRPr="009106D3">
        <w:rPr>
          <w:rFonts w:ascii="Times New Roman" w:hAnsi="Times New Roman" w:cs="Times New Roman"/>
          <w:sz w:val="24"/>
          <w:szCs w:val="24"/>
        </w:rPr>
        <w:t>и</w:t>
      </w:r>
      <w:r w:rsidRPr="009106D3">
        <w:rPr>
          <w:rFonts w:ascii="Times New Roman" w:hAnsi="Times New Roman" w:cs="Times New Roman"/>
          <w:sz w:val="24"/>
          <w:szCs w:val="24"/>
        </w:rPr>
        <w:t xml:space="preserve"> СО НКО</w:t>
      </w:r>
      <w:r w:rsidR="001944AC" w:rsidRPr="009106D3">
        <w:rPr>
          <w:rFonts w:ascii="Times New Roman" w:hAnsi="Times New Roman" w:cs="Times New Roman"/>
          <w:sz w:val="24"/>
          <w:szCs w:val="24"/>
        </w:rPr>
        <w:t xml:space="preserve"> и</w:t>
      </w:r>
      <w:r w:rsidRPr="009106D3">
        <w:rPr>
          <w:rFonts w:ascii="Times New Roman" w:hAnsi="Times New Roman" w:cs="Times New Roman"/>
          <w:sz w:val="24"/>
          <w:szCs w:val="24"/>
        </w:rPr>
        <w:t xml:space="preserve"> составили 10752,2 тыс. руб., или 91,6% от утвержденных бюджетных назначений в</w:t>
      </w:r>
      <w:r w:rsidR="005128E6" w:rsidRPr="009106D3">
        <w:rPr>
          <w:rFonts w:ascii="Times New Roman" w:hAnsi="Times New Roman" w:cs="Times New Roman"/>
          <w:sz w:val="24"/>
          <w:szCs w:val="24"/>
        </w:rPr>
        <w:t xml:space="preserve"> бюджетной росписи Комитета (11</w:t>
      </w:r>
      <w:r w:rsidRPr="009106D3">
        <w:rPr>
          <w:rFonts w:ascii="Times New Roman" w:hAnsi="Times New Roman" w:cs="Times New Roman"/>
          <w:sz w:val="24"/>
          <w:szCs w:val="24"/>
        </w:rPr>
        <w:t>739,2 тыс. руб.).</w:t>
      </w:r>
    </w:p>
    <w:p w:rsidR="00CB32E4" w:rsidRPr="009106D3" w:rsidRDefault="00534268" w:rsidP="00E11838">
      <w:pPr>
        <w:spacing w:before="120"/>
        <w:ind w:firstLine="709"/>
        <w:jc w:val="both"/>
      </w:pPr>
      <w:r w:rsidRPr="009106D3">
        <w:t xml:space="preserve">По </w:t>
      </w:r>
      <w:r w:rsidRPr="009106D3">
        <w:rPr>
          <w:rFonts w:eastAsia="Calibri"/>
        </w:rPr>
        <w:t>подпрограмм</w:t>
      </w:r>
      <w:r w:rsidRPr="009106D3">
        <w:t>е</w:t>
      </w:r>
      <w:r w:rsidRPr="009106D3">
        <w:rPr>
          <w:rFonts w:eastAsia="Calibri"/>
        </w:rPr>
        <w:t xml:space="preserve"> </w:t>
      </w:r>
      <w:r w:rsidRPr="009106D3">
        <w:rPr>
          <w:i/>
          <w:u w:val="single"/>
        </w:rPr>
        <w:t>«</w:t>
      </w:r>
      <w:r w:rsidRPr="009106D3">
        <w:rPr>
          <w:rFonts w:eastAsia="Calibri"/>
          <w:i/>
          <w:u w:val="single"/>
        </w:rPr>
        <w:t xml:space="preserve">Государственная поддержка </w:t>
      </w:r>
      <w:r w:rsidRPr="009106D3">
        <w:rPr>
          <w:i/>
          <w:u w:val="single"/>
        </w:rPr>
        <w:t>СО НКО</w:t>
      </w:r>
      <w:r w:rsidRPr="009106D3">
        <w:rPr>
          <w:rFonts w:eastAsia="Calibri"/>
          <w:i/>
          <w:u w:val="single"/>
        </w:rPr>
        <w:t>, осуществляющих деятельность на территории Волгоградской области, и развитие цифровых механизмов взаимодействия общества и власти</w:t>
      </w:r>
      <w:r w:rsidRPr="009106D3">
        <w:rPr>
          <w:i/>
          <w:u w:val="single"/>
        </w:rPr>
        <w:t>»</w:t>
      </w:r>
      <w:r w:rsidRPr="009106D3">
        <w:t xml:space="preserve"> определены 4 </w:t>
      </w:r>
      <w:r w:rsidR="000A7096" w:rsidRPr="009106D3">
        <w:t>целевых показателя</w:t>
      </w:r>
      <w:r w:rsidR="002B62DE" w:rsidRPr="009106D3">
        <w:t>,</w:t>
      </w:r>
      <w:r w:rsidRPr="009106D3">
        <w:t xml:space="preserve"> представленны</w:t>
      </w:r>
      <w:r w:rsidR="000A7096" w:rsidRPr="009106D3">
        <w:t>х</w:t>
      </w:r>
      <w:r w:rsidRPr="009106D3">
        <w:t xml:space="preserve"> в </w:t>
      </w:r>
      <w:r w:rsidR="006B034D" w:rsidRPr="009106D3">
        <w:t>П</w:t>
      </w:r>
      <w:r w:rsidR="0000564E" w:rsidRPr="009106D3">
        <w:t xml:space="preserve">риложении </w:t>
      </w:r>
      <w:r w:rsidR="00CD0E3B" w:rsidRPr="009106D3">
        <w:t>5</w:t>
      </w:r>
      <w:r w:rsidRPr="009106D3">
        <w:t>.</w:t>
      </w:r>
    </w:p>
    <w:p w:rsidR="00F97EF8" w:rsidRPr="009106D3" w:rsidRDefault="009554A7" w:rsidP="00E11838">
      <w:pPr>
        <w:ind w:firstLine="709"/>
        <w:jc w:val="both"/>
      </w:pPr>
      <w:proofErr w:type="gramStart"/>
      <w:r w:rsidRPr="009106D3">
        <w:t>Ц</w:t>
      </w:r>
      <w:r w:rsidR="00534268" w:rsidRPr="009106D3">
        <w:t xml:space="preserve">елевые </w:t>
      </w:r>
      <w:r w:rsidR="000A7096" w:rsidRPr="009106D3">
        <w:t>показатели</w:t>
      </w:r>
      <w:r w:rsidR="00534268" w:rsidRPr="009106D3">
        <w:t xml:space="preserve"> Комитетом достигнуты, однако процент перевыполнения колебл</w:t>
      </w:r>
      <w:r w:rsidR="00F97EF8" w:rsidRPr="009106D3">
        <w:t>ется от 25,5% до 1200%</w:t>
      </w:r>
      <w:r w:rsidR="004066E9" w:rsidRPr="009106D3">
        <w:t xml:space="preserve"> при финансировании на 91,6%</w:t>
      </w:r>
      <w:r w:rsidR="00F97EF8" w:rsidRPr="009106D3">
        <w:t xml:space="preserve">, что свидетельствует об их некорректном планировании и </w:t>
      </w:r>
      <w:r w:rsidR="00F97EF8" w:rsidRPr="009106D3">
        <w:rPr>
          <w:spacing w:val="-6"/>
        </w:rPr>
        <w:t xml:space="preserve">отсутствии </w:t>
      </w:r>
      <w:proofErr w:type="spellStart"/>
      <w:r w:rsidR="00F97EF8" w:rsidRPr="009106D3">
        <w:rPr>
          <w:spacing w:val="-6"/>
        </w:rPr>
        <w:t>взаимоувязки</w:t>
      </w:r>
      <w:proofErr w:type="spellEnd"/>
      <w:r w:rsidR="00F97EF8" w:rsidRPr="009106D3">
        <w:rPr>
          <w:spacing w:val="-6"/>
        </w:rPr>
        <w:t xml:space="preserve"> с финанс</w:t>
      </w:r>
      <w:r w:rsidR="0000564E" w:rsidRPr="009106D3">
        <w:rPr>
          <w:spacing w:val="-6"/>
        </w:rPr>
        <w:t>овым обеспечением программы и</w:t>
      </w:r>
      <w:r w:rsidR="00F97EF8" w:rsidRPr="009106D3">
        <w:rPr>
          <w:spacing w:val="-6"/>
        </w:rPr>
        <w:t xml:space="preserve"> противоречит п. 2.5 Порядк</w:t>
      </w:r>
      <w:r w:rsidR="00AD07F5" w:rsidRPr="009106D3">
        <w:rPr>
          <w:spacing w:val="-6"/>
        </w:rPr>
        <w:t>а</w:t>
      </w:r>
      <w:r w:rsidR="00F97EF8" w:rsidRPr="009106D3">
        <w:rPr>
          <w:spacing w:val="-6"/>
        </w:rPr>
        <w:t xml:space="preserve"> </w:t>
      </w:r>
      <w:r w:rsidRPr="009106D3">
        <w:t>разработки, реализации и оценки эффективности реализации государственных программ Волгоградской области, утвержденному постановлением Правительства Волгоградской области от 27.08.2013</w:t>
      </w:r>
      <w:r w:rsidRPr="009106D3">
        <w:rPr>
          <w:spacing w:val="-6"/>
        </w:rPr>
        <w:t xml:space="preserve"> </w:t>
      </w:r>
      <w:r w:rsidR="00F97EF8" w:rsidRPr="009106D3">
        <w:rPr>
          <w:spacing w:val="-6"/>
        </w:rPr>
        <w:t>№</w:t>
      </w:r>
      <w:r w:rsidR="00333EF3" w:rsidRPr="009106D3">
        <w:rPr>
          <w:spacing w:val="-6"/>
        </w:rPr>
        <w:t xml:space="preserve"> </w:t>
      </w:r>
      <w:r w:rsidR="00F97EF8" w:rsidRPr="009106D3">
        <w:rPr>
          <w:spacing w:val="-6"/>
        </w:rPr>
        <w:t>423-п</w:t>
      </w:r>
      <w:r w:rsidR="00F97EF8" w:rsidRPr="009106D3">
        <w:t xml:space="preserve"> (далее Постановление № 423-п)</w:t>
      </w:r>
      <w:r w:rsidR="00AD07F5" w:rsidRPr="009106D3">
        <w:t>.</w:t>
      </w:r>
      <w:proofErr w:type="gramEnd"/>
    </w:p>
    <w:p w:rsidR="00534268" w:rsidRPr="009106D3" w:rsidRDefault="00534268" w:rsidP="00F50BE2">
      <w:pPr>
        <w:ind w:firstLine="709"/>
        <w:jc w:val="both"/>
      </w:pPr>
      <w:r w:rsidRPr="009106D3">
        <w:t xml:space="preserve">В соответствии с </w:t>
      </w:r>
      <w:r w:rsidR="00746B58" w:rsidRPr="009106D3">
        <w:t xml:space="preserve">п.2.5 </w:t>
      </w:r>
      <w:r w:rsidRPr="009106D3">
        <w:t>Постановлени</w:t>
      </w:r>
      <w:r w:rsidR="00746B58" w:rsidRPr="009106D3">
        <w:t xml:space="preserve">я </w:t>
      </w:r>
      <w:r w:rsidRPr="009106D3">
        <w:t>№ 423-п  плановые целевые показатели должны соответствовать следующим требованиям: адекватность</w:t>
      </w:r>
      <w:r w:rsidR="007F365D" w:rsidRPr="009106D3">
        <w:t>,</w:t>
      </w:r>
      <w:r w:rsidRPr="009106D3">
        <w:t xml:space="preserve"> точность</w:t>
      </w:r>
      <w:r w:rsidR="007F365D" w:rsidRPr="009106D3">
        <w:t>,</w:t>
      </w:r>
      <w:r w:rsidRPr="009106D3">
        <w:t xml:space="preserve"> достоверность</w:t>
      </w:r>
      <w:r w:rsidR="007F365D" w:rsidRPr="009106D3">
        <w:t>,</w:t>
      </w:r>
      <w:r w:rsidRPr="009106D3">
        <w:t xml:space="preserve"> однозначность и сопоставимость. Погрешности измерения не должны приводить к искаженному представлению о результатах реализации государственной программы.</w:t>
      </w:r>
    </w:p>
    <w:p w:rsidR="00534268" w:rsidRPr="009106D3" w:rsidRDefault="00534268" w:rsidP="00F50BE2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6D3">
        <w:rPr>
          <w:rFonts w:ascii="Times New Roman" w:hAnsi="Times New Roman" w:cs="Times New Roman"/>
          <w:sz w:val="24"/>
          <w:szCs w:val="24"/>
        </w:rPr>
        <w:t xml:space="preserve">Целевые </w:t>
      </w:r>
      <w:r w:rsidR="000A7096" w:rsidRPr="009106D3">
        <w:rPr>
          <w:rFonts w:ascii="Times New Roman" w:hAnsi="Times New Roman" w:cs="Times New Roman"/>
          <w:sz w:val="24"/>
          <w:szCs w:val="24"/>
        </w:rPr>
        <w:t>показатели</w:t>
      </w:r>
      <w:r w:rsidRPr="009106D3">
        <w:rPr>
          <w:rFonts w:ascii="Times New Roman" w:hAnsi="Times New Roman" w:cs="Times New Roman"/>
          <w:sz w:val="24"/>
          <w:szCs w:val="24"/>
        </w:rPr>
        <w:t xml:space="preserve"> подпрограмм </w:t>
      </w:r>
      <w:r w:rsidRPr="009106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развития и совершенствование системы территориального общественного самоуправления Волгоградской области</w:t>
      </w:r>
      <w:r w:rsidRPr="009106D3">
        <w:rPr>
          <w:rFonts w:ascii="Times New Roman" w:hAnsi="Times New Roman" w:cs="Times New Roman"/>
          <w:sz w:val="24"/>
          <w:szCs w:val="24"/>
        </w:rPr>
        <w:t xml:space="preserve"> и фактическое их достижение представлены в </w:t>
      </w:r>
      <w:r w:rsidR="006B034D" w:rsidRPr="009106D3">
        <w:rPr>
          <w:rFonts w:ascii="Times New Roman" w:hAnsi="Times New Roman" w:cs="Times New Roman"/>
          <w:sz w:val="24"/>
          <w:szCs w:val="24"/>
        </w:rPr>
        <w:t>П</w:t>
      </w:r>
      <w:r w:rsidR="006639A5" w:rsidRPr="009106D3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CD0E3B" w:rsidRPr="009106D3">
        <w:rPr>
          <w:rFonts w:ascii="Times New Roman" w:hAnsi="Times New Roman" w:cs="Times New Roman"/>
          <w:sz w:val="24"/>
          <w:szCs w:val="24"/>
        </w:rPr>
        <w:t>5</w:t>
      </w:r>
      <w:r w:rsidRPr="009106D3">
        <w:rPr>
          <w:rFonts w:ascii="Times New Roman" w:hAnsi="Times New Roman" w:cs="Times New Roman"/>
          <w:sz w:val="24"/>
          <w:szCs w:val="24"/>
        </w:rPr>
        <w:t>.</w:t>
      </w:r>
    </w:p>
    <w:p w:rsidR="00534268" w:rsidRPr="009106D3" w:rsidRDefault="00534268" w:rsidP="00F50BE2">
      <w:pPr>
        <w:ind w:firstLine="709"/>
        <w:jc w:val="both"/>
      </w:pPr>
      <w:r w:rsidRPr="009106D3">
        <w:t>Комитетом не исполнен целевой показатель в доле муниципальных районов и городских округов Волгоградской области, имеющих финансируемые целевые программы развития ТОС</w:t>
      </w:r>
      <w:r w:rsidR="006639A5" w:rsidRPr="009106D3">
        <w:t>,</w:t>
      </w:r>
      <w:r w:rsidRPr="009106D3">
        <w:t xml:space="preserve"> в объеме 97 % (факт – 44,7 %). Причиной отклонения данного показателя стало отсутствие финансирования из областного бюджета на реализацию программ по поддержке ТОС.</w:t>
      </w:r>
      <w:r w:rsidR="00FD1405" w:rsidRPr="009106D3">
        <w:t xml:space="preserve"> Комитетом соответствующие изменения в ГП в связи с отсутствием финансирования </w:t>
      </w:r>
      <w:r w:rsidR="0005697C" w:rsidRPr="009106D3">
        <w:t>своевременно</w:t>
      </w:r>
      <w:r w:rsidR="00FD1405" w:rsidRPr="009106D3">
        <w:t xml:space="preserve"> не внесены, что противоречит п.2.5</w:t>
      </w:r>
      <w:r w:rsidR="00FD1405" w:rsidRPr="009106D3">
        <w:rPr>
          <w:spacing w:val="-6"/>
        </w:rPr>
        <w:t xml:space="preserve"> Порядка №</w:t>
      </w:r>
      <w:r w:rsidR="00276646" w:rsidRPr="009106D3">
        <w:rPr>
          <w:spacing w:val="-6"/>
        </w:rPr>
        <w:t xml:space="preserve"> </w:t>
      </w:r>
      <w:r w:rsidR="00FD1405" w:rsidRPr="009106D3">
        <w:rPr>
          <w:spacing w:val="-6"/>
        </w:rPr>
        <w:t>423-п</w:t>
      </w:r>
      <w:r w:rsidR="00FD1405" w:rsidRPr="009106D3">
        <w:t>.</w:t>
      </w:r>
    </w:p>
    <w:p w:rsidR="00534268" w:rsidRPr="009106D3" w:rsidRDefault="00534268" w:rsidP="00F50BE2">
      <w:pPr>
        <w:ind w:firstLine="709"/>
        <w:jc w:val="both"/>
      </w:pPr>
      <w:r w:rsidRPr="009106D3">
        <w:lastRenderedPageBreak/>
        <w:t xml:space="preserve">Целевые </w:t>
      </w:r>
      <w:r w:rsidR="000A7096" w:rsidRPr="009106D3">
        <w:t>показатели</w:t>
      </w:r>
      <w:r w:rsidRPr="009106D3">
        <w:t xml:space="preserve"> </w:t>
      </w:r>
      <w:r w:rsidRPr="009106D3">
        <w:rPr>
          <w:rFonts w:eastAsia="Calibri"/>
        </w:rPr>
        <w:t>подпрограмм</w:t>
      </w:r>
      <w:r w:rsidRPr="009106D3">
        <w:t>ы</w:t>
      </w:r>
      <w:r w:rsidRPr="009106D3">
        <w:rPr>
          <w:rFonts w:eastAsia="Calibri"/>
        </w:rPr>
        <w:t xml:space="preserve"> </w:t>
      </w:r>
      <w:r w:rsidRPr="009106D3">
        <w:rPr>
          <w:i/>
          <w:u w:val="single"/>
        </w:rPr>
        <w:t>«</w:t>
      </w:r>
      <w:r w:rsidRPr="009106D3">
        <w:rPr>
          <w:rFonts w:eastAsia="Calibri"/>
          <w:i/>
          <w:u w:val="single"/>
        </w:rPr>
        <w:t>Реализация государственной национальной политики на территории Волгоградской области</w:t>
      </w:r>
      <w:r w:rsidRPr="009106D3">
        <w:rPr>
          <w:i/>
          <w:u w:val="single"/>
        </w:rPr>
        <w:t>»</w:t>
      </w:r>
      <w:r w:rsidRPr="009106D3">
        <w:t xml:space="preserve"> исполнены по количеству участников мероприятий, направленных на укрепление общероссийского гражданского единства</w:t>
      </w:r>
      <w:r w:rsidR="006639A5" w:rsidRPr="009106D3">
        <w:t>,</w:t>
      </w:r>
      <w:r w:rsidRPr="009106D3">
        <w:t xml:space="preserve"> на 108 % (план 1200</w:t>
      </w:r>
      <w:r w:rsidR="000A7096" w:rsidRPr="009106D3">
        <w:t>0</w:t>
      </w:r>
      <w:r w:rsidRPr="009106D3">
        <w:t xml:space="preserve"> единиц / факт 12971 единиц) и по количеству участников мероприятий, направленных на этнокультурное развитие народов РФ</w:t>
      </w:r>
      <w:r w:rsidR="006639A5" w:rsidRPr="009106D3">
        <w:t>,</w:t>
      </w:r>
      <w:r w:rsidRPr="009106D3">
        <w:t xml:space="preserve"> на 120 % (план 6000 единиц / факт 7200 единиц)</w:t>
      </w:r>
    </w:p>
    <w:p w:rsidR="00534268" w:rsidRPr="009106D3" w:rsidRDefault="00534268" w:rsidP="00F50BE2">
      <w:pPr>
        <w:ind w:firstLine="709"/>
        <w:jc w:val="both"/>
      </w:pPr>
      <w:proofErr w:type="gramStart"/>
      <w:r w:rsidRPr="009106D3">
        <w:t xml:space="preserve">По </w:t>
      </w:r>
      <w:r w:rsidRPr="009106D3">
        <w:rPr>
          <w:rFonts w:eastAsia="Calibri"/>
        </w:rPr>
        <w:t>подпрограмм</w:t>
      </w:r>
      <w:r w:rsidRPr="009106D3">
        <w:t>е</w:t>
      </w:r>
      <w:r w:rsidRPr="009106D3">
        <w:rPr>
          <w:rFonts w:eastAsia="Calibri"/>
        </w:rPr>
        <w:t xml:space="preserve"> </w:t>
      </w:r>
      <w:r w:rsidRPr="009106D3">
        <w:rPr>
          <w:i/>
          <w:u w:val="single"/>
        </w:rPr>
        <w:t>«</w:t>
      </w:r>
      <w:r w:rsidRPr="009106D3">
        <w:rPr>
          <w:rFonts w:eastAsia="Calibri"/>
          <w:i/>
          <w:u w:val="single"/>
        </w:rPr>
        <w:t>Развитие казачества на территории Волгоградской области</w:t>
      </w:r>
      <w:r w:rsidRPr="009106D3">
        <w:rPr>
          <w:i/>
          <w:u w:val="single"/>
        </w:rPr>
        <w:t>»</w:t>
      </w:r>
      <w:r w:rsidRPr="009106D3">
        <w:t xml:space="preserve"> показатель «Количество членов казачьих обществ Волгоградской области, привлеченных к несению государственной и иной службы» выполнен на 103 % и составил 1236 единиц (план 1200 единиц), показатель «Количество участников мероприятий, проводимых при участии казачества Волгоградской области, направленных на сохранение и развитие самобытной казачьей культуры и воспитание подрастающего поколения в духе патриотизма» выполнен на 102</w:t>
      </w:r>
      <w:proofErr w:type="gramEnd"/>
      <w:r w:rsidRPr="009106D3">
        <w:t xml:space="preserve"> % и составил 47000 единиц (план 46140 единиц).</w:t>
      </w:r>
    </w:p>
    <w:p w:rsidR="009554A7" w:rsidRPr="009106D3" w:rsidRDefault="009554A7" w:rsidP="00F50BE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106D3">
        <w:rPr>
          <w:rFonts w:eastAsia="Calibri"/>
        </w:rPr>
        <w:t xml:space="preserve">В нарушение </w:t>
      </w:r>
      <w:r w:rsidR="002572A0" w:rsidRPr="009106D3">
        <w:rPr>
          <w:rFonts w:eastAsia="Calibri"/>
        </w:rPr>
        <w:t xml:space="preserve">п. </w:t>
      </w:r>
      <w:r w:rsidRPr="009106D3">
        <w:rPr>
          <w:rFonts w:eastAsia="Calibri"/>
        </w:rPr>
        <w:t xml:space="preserve">6.10.2  </w:t>
      </w:r>
      <w:r w:rsidRPr="009106D3">
        <w:t>Постановления № 423-п</w:t>
      </w:r>
      <w:r w:rsidRPr="009106D3">
        <w:rPr>
          <w:rFonts w:eastAsiaTheme="minorHAnsi"/>
          <w:lang w:eastAsia="en-US"/>
        </w:rPr>
        <w:t xml:space="preserve"> Комитетом в </w:t>
      </w:r>
      <w:r w:rsidRPr="009106D3">
        <w:rPr>
          <w:rFonts w:eastAsia="Calibri"/>
        </w:rPr>
        <w:t xml:space="preserve">годовом докладе об эффективности реализации государственной программы </w:t>
      </w:r>
      <w:r w:rsidRPr="009106D3">
        <w:t>«</w:t>
      </w:r>
      <w:r w:rsidRPr="009106D3">
        <w:rPr>
          <w:rFonts w:eastAsia="Calibri"/>
        </w:rPr>
        <w:t>Развитие гражданского общества на территории Волгоградской области</w:t>
      </w:r>
      <w:r w:rsidRPr="009106D3">
        <w:t>»</w:t>
      </w:r>
      <w:r w:rsidRPr="009106D3">
        <w:rPr>
          <w:rFonts w:eastAsia="Calibri"/>
        </w:rPr>
        <w:t xml:space="preserve"> за 2019 </w:t>
      </w:r>
      <w:r w:rsidRPr="009106D3">
        <w:rPr>
          <w:rFonts w:eastAsiaTheme="minorHAnsi"/>
          <w:lang w:eastAsia="en-US"/>
        </w:rPr>
        <w:t>при значении эффективности реализации государственной программы 82,6%</w:t>
      </w:r>
      <w:r w:rsidR="008A61E3" w:rsidRPr="009106D3">
        <w:rPr>
          <w:rFonts w:eastAsiaTheme="minorHAnsi"/>
          <w:lang w:eastAsia="en-US"/>
        </w:rPr>
        <w:t xml:space="preserve"> </w:t>
      </w:r>
      <w:r w:rsidRPr="009106D3">
        <w:rPr>
          <w:rFonts w:eastAsia="Calibri"/>
        </w:rPr>
        <w:t>э</w:t>
      </w:r>
      <w:r w:rsidRPr="009106D3">
        <w:rPr>
          <w:rFonts w:eastAsiaTheme="minorHAnsi"/>
          <w:lang w:eastAsia="en-US"/>
        </w:rPr>
        <w:t xml:space="preserve">ффективность ее реализации признана высокой. </w:t>
      </w:r>
    </w:p>
    <w:p w:rsidR="009554A7" w:rsidRPr="009106D3" w:rsidRDefault="009554A7" w:rsidP="00F50BE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106D3">
        <w:rPr>
          <w:rFonts w:eastAsiaTheme="minorHAnsi"/>
          <w:lang w:eastAsia="en-US"/>
        </w:rPr>
        <w:t xml:space="preserve">Вместе с тем при значении </w:t>
      </w:r>
      <w:r w:rsidR="008A61E3" w:rsidRPr="009106D3">
        <w:rPr>
          <w:rFonts w:eastAsiaTheme="minorHAnsi"/>
          <w:lang w:eastAsia="en-US"/>
        </w:rPr>
        <w:t>эффективности реализации менее 90 % эффективность реализации программы признается как средняя.</w:t>
      </w:r>
    </w:p>
    <w:p w:rsidR="00B8243D" w:rsidRPr="009106D3" w:rsidRDefault="00F501F3" w:rsidP="00F50BE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106D3">
        <w:rPr>
          <w:rFonts w:eastAsiaTheme="minorHAnsi"/>
          <w:lang w:eastAsia="en-US"/>
        </w:rPr>
        <w:t>В ходе проверки Комитетом внесена уточняющая поправка в годовой доклад.</w:t>
      </w:r>
    </w:p>
    <w:p w:rsidR="002572A0" w:rsidRPr="009106D3" w:rsidRDefault="002572A0" w:rsidP="00F50BE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2572A0" w:rsidRPr="009106D3" w:rsidRDefault="00534268" w:rsidP="00E11838">
      <w:pPr>
        <w:jc w:val="center"/>
        <w:rPr>
          <w:i/>
          <w:u w:val="single"/>
        </w:rPr>
      </w:pPr>
      <w:r w:rsidRPr="009106D3">
        <w:rPr>
          <w:i/>
          <w:u w:val="single"/>
        </w:rPr>
        <w:t>ВЦП Реализация государственной информационной политики на территории Волгоградской области</w:t>
      </w:r>
    </w:p>
    <w:p w:rsidR="00534268" w:rsidRPr="009106D3" w:rsidRDefault="00534268" w:rsidP="00F50BE2">
      <w:pPr>
        <w:tabs>
          <w:tab w:val="left" w:pos="1106"/>
        </w:tabs>
        <w:ind w:firstLine="709"/>
        <w:jc w:val="both"/>
      </w:pPr>
      <w:r w:rsidRPr="009106D3">
        <w:t>Утвержденный объем финансирования ВЦП «Реализация государственной информационной политики» составляет 271245,8 тыс. руб., что на 37753,8 тыс. руб. или на 12,2% меньше бюджетны</w:t>
      </w:r>
      <w:r w:rsidR="00FD18A2" w:rsidRPr="009106D3">
        <w:t>х</w:t>
      </w:r>
      <w:r w:rsidRPr="009106D3">
        <w:t xml:space="preserve"> ассигновани</w:t>
      </w:r>
      <w:r w:rsidR="00FD18A2" w:rsidRPr="009106D3">
        <w:t>й,</w:t>
      </w:r>
      <w:r w:rsidRPr="009106D3">
        <w:t xml:space="preserve"> утвержденны</w:t>
      </w:r>
      <w:r w:rsidR="00FD18A2" w:rsidRPr="009106D3">
        <w:t>х</w:t>
      </w:r>
      <w:r w:rsidRPr="009106D3">
        <w:t xml:space="preserve"> Законом об областном бюджете на 2019 год (308999,6 тыс. руб.).</w:t>
      </w:r>
    </w:p>
    <w:p w:rsidR="00534268" w:rsidRPr="009106D3" w:rsidRDefault="00534268" w:rsidP="00F50BE2">
      <w:pPr>
        <w:autoSpaceDE w:val="0"/>
        <w:autoSpaceDN w:val="0"/>
        <w:adjustRightInd w:val="0"/>
        <w:ind w:firstLine="709"/>
        <w:jc w:val="both"/>
      </w:pPr>
      <w:r w:rsidRPr="009106D3">
        <w:t>Расходы на реали</w:t>
      </w:r>
      <w:r w:rsidR="00963896" w:rsidRPr="009106D3">
        <w:t>зацию мероприятий составили 268</w:t>
      </w:r>
      <w:r w:rsidRPr="009106D3">
        <w:t>473,6 тыс. руб., или 99% от утвержденных бюджетных назначений бюджетной роспис</w:t>
      </w:r>
      <w:r w:rsidR="0070261A" w:rsidRPr="009106D3">
        <w:t>ью</w:t>
      </w:r>
      <w:r w:rsidRPr="009106D3">
        <w:t xml:space="preserve"> Комитета. </w:t>
      </w:r>
    </w:p>
    <w:p w:rsidR="00534268" w:rsidRPr="009106D3" w:rsidRDefault="00534268" w:rsidP="00F50BE2">
      <w:pPr>
        <w:ind w:firstLine="709"/>
        <w:jc w:val="both"/>
      </w:pPr>
      <w:r w:rsidRPr="009106D3">
        <w:t xml:space="preserve">Оценка эффективности ВЦП производилась посредством достижения 16 целевых </w:t>
      </w:r>
      <w:r w:rsidR="0070261A" w:rsidRPr="009106D3">
        <w:t>показателей</w:t>
      </w:r>
      <w:r w:rsidR="00F36117" w:rsidRPr="009106D3">
        <w:t>,</w:t>
      </w:r>
      <w:r w:rsidRPr="009106D3">
        <w:t xml:space="preserve"> утвержденных приказом от 09.10.2018 №23 «Об утверждении ведомственной целевой программы». </w:t>
      </w:r>
    </w:p>
    <w:p w:rsidR="00CE7580" w:rsidRPr="009106D3" w:rsidRDefault="00534268" w:rsidP="00F50BE2">
      <w:pPr>
        <w:ind w:firstLine="709"/>
        <w:jc w:val="both"/>
      </w:pPr>
      <w:r w:rsidRPr="009106D3">
        <w:t xml:space="preserve">Информация об исполнении целевых </w:t>
      </w:r>
      <w:r w:rsidR="00FD1405" w:rsidRPr="009106D3">
        <w:t>показателей</w:t>
      </w:r>
      <w:r w:rsidRPr="009106D3">
        <w:t xml:space="preserve"> по ВЦП «Реализация информационной политики на территории Волгоградской области в 2019 году» приведена в Приложении </w:t>
      </w:r>
      <w:r w:rsidR="00CD0E3B" w:rsidRPr="009106D3">
        <w:t>5</w:t>
      </w:r>
      <w:r w:rsidRPr="009106D3">
        <w:t>.</w:t>
      </w:r>
      <w:r w:rsidR="00CE7580" w:rsidRPr="009106D3">
        <w:t xml:space="preserve"> </w:t>
      </w:r>
    </w:p>
    <w:p w:rsidR="00534268" w:rsidRPr="009106D3" w:rsidRDefault="00B81CB5" w:rsidP="00F50BE2">
      <w:pPr>
        <w:ind w:firstLine="709"/>
        <w:jc w:val="both"/>
      </w:pPr>
      <w:r w:rsidRPr="009106D3">
        <w:t>В</w:t>
      </w:r>
      <w:r w:rsidR="00534268" w:rsidRPr="009106D3">
        <w:t xml:space="preserve">се целевые </w:t>
      </w:r>
      <w:r w:rsidR="00FD1405" w:rsidRPr="009106D3">
        <w:t>показатели</w:t>
      </w:r>
      <w:r w:rsidR="00534268" w:rsidRPr="009106D3">
        <w:t xml:space="preserve"> за отчетный период достигнут</w:t>
      </w:r>
      <w:r w:rsidR="00CE7580" w:rsidRPr="009106D3">
        <w:t>ы, основное перевыполнение сложилось по двум целевым показателям:</w:t>
      </w:r>
    </w:p>
    <w:p w:rsidR="009C0881" w:rsidRPr="009106D3" w:rsidRDefault="00CE7580" w:rsidP="00F50BE2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9106D3">
        <w:t xml:space="preserve">-"объем эфирного времени, затраченного на освещение деятельности политических партий, представленных в Волгоградской областной Думе, в период, в котором обеспечены гарантии равенства политических партий, представленных в Волгоградской областной Думе, при освещении их деятельности региональными телеканалом и радиоканалом" </w:t>
      </w:r>
      <w:r w:rsidR="006B034D" w:rsidRPr="009106D3">
        <w:t>(</w:t>
      </w:r>
      <w:r w:rsidRPr="009106D3">
        <w:t>при плане 1800 мин., фактически обеспечено эфирное время 8551 минут</w:t>
      </w:r>
      <w:r w:rsidR="006B034D" w:rsidRPr="009106D3">
        <w:t>)</w:t>
      </w:r>
      <w:r w:rsidRPr="009106D3">
        <w:t>.</w:t>
      </w:r>
      <w:proofErr w:type="gramEnd"/>
      <w:r w:rsidRPr="009106D3">
        <w:t xml:space="preserve"> </w:t>
      </w:r>
      <w:proofErr w:type="gramStart"/>
      <w:r w:rsidRPr="009106D3">
        <w:t xml:space="preserve">Перевыполнение целевого показателя в 4,8 раза при неизменном финансовом обеспечении сложилось в связи с изменением регионального телеканала, осуществляющего освещение деятельности политических партий, представленных в Волгоградской областной Думе, в соответствии с постановлением Губернатора Волгоградской области от 07.06.2018 № 426 "Об определении регионального телеканала и регионального радиоканала, осуществляющих освещение деятельности политических партий, представленных в </w:t>
      </w:r>
      <w:r w:rsidR="008840E1" w:rsidRPr="009106D3">
        <w:t xml:space="preserve">Волгоградской </w:t>
      </w:r>
      <w:r w:rsidR="006B034D" w:rsidRPr="009106D3">
        <w:t>о</w:t>
      </w:r>
      <w:r w:rsidR="008840E1" w:rsidRPr="009106D3">
        <w:t xml:space="preserve">бластной </w:t>
      </w:r>
      <w:r w:rsidR="006B034D" w:rsidRPr="009106D3">
        <w:t>Д</w:t>
      </w:r>
      <w:r w:rsidR="008840E1" w:rsidRPr="009106D3">
        <w:t>уме".</w:t>
      </w:r>
      <w:proofErr w:type="gramEnd"/>
      <w:r w:rsidR="008840E1" w:rsidRPr="009106D3">
        <w:t xml:space="preserve"> Согласно отчету Комитета для</w:t>
      </w:r>
      <w:r w:rsidRPr="009106D3">
        <w:t xml:space="preserve"> телеканала "2ТВ" освещение политических партий явля</w:t>
      </w:r>
      <w:r w:rsidR="008840E1" w:rsidRPr="009106D3">
        <w:t>лось</w:t>
      </w:r>
      <w:r w:rsidRPr="009106D3">
        <w:t xml:space="preserve"> приоритетным наполнением эфира, что позволило при сохранении территории вещания </w:t>
      </w:r>
      <w:r w:rsidR="009C0881" w:rsidRPr="009106D3">
        <w:t>(</w:t>
      </w:r>
      <w:r w:rsidRPr="009106D3">
        <w:t>Волгоградская область</w:t>
      </w:r>
      <w:r w:rsidR="009C0881" w:rsidRPr="009106D3">
        <w:t>)</w:t>
      </w:r>
      <w:r w:rsidRPr="009106D3">
        <w:t xml:space="preserve">, времени вещания </w:t>
      </w:r>
      <w:r w:rsidR="009C0881" w:rsidRPr="009106D3">
        <w:t>(</w:t>
      </w:r>
      <w:r w:rsidRPr="009106D3">
        <w:t>ежедневно, круглосуточно</w:t>
      </w:r>
      <w:r w:rsidR="009C0881" w:rsidRPr="009106D3">
        <w:t>)</w:t>
      </w:r>
      <w:r w:rsidRPr="009106D3">
        <w:t>, обеспечить большее эфирное время,</w:t>
      </w:r>
      <w:r w:rsidR="008840E1" w:rsidRPr="009106D3">
        <w:t xml:space="preserve"> ум</w:t>
      </w:r>
      <w:r w:rsidR="009C0881" w:rsidRPr="009106D3">
        <w:t xml:space="preserve">еньшив стоимость 1 мин. вещания. </w:t>
      </w:r>
      <w:r w:rsidR="006B034D" w:rsidRPr="009106D3">
        <w:t>При этом</w:t>
      </w:r>
      <w:r w:rsidR="009C0881" w:rsidRPr="009106D3">
        <w:t xml:space="preserve"> </w:t>
      </w:r>
      <w:r w:rsidR="009C0881" w:rsidRPr="009106D3">
        <w:rPr>
          <w:rFonts w:eastAsiaTheme="minorHAnsi"/>
          <w:lang w:eastAsia="en-US"/>
        </w:rPr>
        <w:t xml:space="preserve">целевой показатель реализации указанного мероприятия, влияющий на размер субсидии (объем эфирного времени), в связи с изменением регионального телеканала не был Комитетом скорректирован, что противоречит требованиям </w:t>
      </w:r>
      <w:r w:rsidR="009C0881" w:rsidRPr="009106D3">
        <w:rPr>
          <w:rFonts w:eastAsiaTheme="minorHAnsi"/>
          <w:lang w:eastAsia="en-US"/>
        </w:rPr>
        <w:lastRenderedPageBreak/>
        <w:t xml:space="preserve">п.1.3 </w:t>
      </w:r>
      <w:r w:rsidR="00746B58" w:rsidRPr="009106D3">
        <w:t xml:space="preserve">постановления Администрации Волгоградской области от 13.10.2008 № 89-п «Об утверждении </w:t>
      </w:r>
      <w:r w:rsidR="002540AC" w:rsidRPr="009106D3">
        <w:t>П</w:t>
      </w:r>
      <w:r w:rsidR="00746B58" w:rsidRPr="009106D3">
        <w:t>оложения о разработке, утверждении и реализации ведомственных целевых программ» (далее Постановление №89-п)</w:t>
      </w:r>
      <w:r w:rsidR="009C0881" w:rsidRPr="009106D3">
        <w:rPr>
          <w:rFonts w:eastAsiaTheme="minorHAnsi"/>
          <w:lang w:eastAsia="en-US"/>
        </w:rPr>
        <w:t>.</w:t>
      </w:r>
      <w:r w:rsidR="00746B58" w:rsidRPr="009106D3">
        <w:rPr>
          <w:rFonts w:eastAsiaTheme="minorHAnsi"/>
          <w:lang w:eastAsia="en-US"/>
        </w:rPr>
        <w:t xml:space="preserve"> </w:t>
      </w:r>
      <w:r w:rsidR="009C0881" w:rsidRPr="009106D3">
        <w:rPr>
          <w:rFonts w:eastAsiaTheme="minorHAnsi"/>
          <w:lang w:eastAsia="en-US"/>
        </w:rPr>
        <w:t>В целях соблюдения требований п.1.3 Постановления № 89-п Комитету необходимо согласовать целевые показатели реализации указанного мероприятия с Волгоградской областной Думой</w:t>
      </w:r>
      <w:r w:rsidR="00746B58" w:rsidRPr="009106D3">
        <w:rPr>
          <w:rFonts w:eastAsiaTheme="minorHAnsi"/>
          <w:lang w:eastAsia="en-US"/>
        </w:rPr>
        <w:t>;</w:t>
      </w:r>
    </w:p>
    <w:p w:rsidR="00CC112A" w:rsidRPr="009106D3" w:rsidRDefault="008840E1" w:rsidP="00F50BE2">
      <w:pPr>
        <w:ind w:firstLine="709"/>
        <w:jc w:val="both"/>
      </w:pPr>
      <w:r w:rsidRPr="009106D3">
        <w:t xml:space="preserve">-"количество участников проведенных семинаров для сотрудников редакций СМИ" </w:t>
      </w:r>
      <w:r w:rsidR="002540AC" w:rsidRPr="009106D3">
        <w:t>(</w:t>
      </w:r>
      <w:r w:rsidRPr="009106D3">
        <w:t>при плане 150 чел., фактическое исполнение составило 360 чел., или в 2,4 раза больше</w:t>
      </w:r>
      <w:r w:rsidR="002540AC" w:rsidRPr="009106D3">
        <w:t>)</w:t>
      </w:r>
      <w:r w:rsidRPr="009106D3">
        <w:t xml:space="preserve">. Согласно отчету Комитета перевыполнение планового значения сложилось в связи с большим количеством участников и масштабностью </w:t>
      </w:r>
      <w:proofErr w:type="spellStart"/>
      <w:r w:rsidRPr="009106D3">
        <w:t>медиафорума</w:t>
      </w:r>
      <w:proofErr w:type="spellEnd"/>
      <w:r w:rsidRPr="009106D3">
        <w:t xml:space="preserve"> "</w:t>
      </w:r>
      <w:proofErr w:type="spellStart"/>
      <w:r w:rsidRPr="009106D3">
        <w:t>Инфорум</w:t>
      </w:r>
      <w:proofErr w:type="spellEnd"/>
      <w:r w:rsidRPr="009106D3">
        <w:t>" и конкурса "</w:t>
      </w:r>
      <w:proofErr w:type="spellStart"/>
      <w:r w:rsidRPr="009106D3">
        <w:t>ТЭФИ-Регион</w:t>
      </w:r>
      <w:proofErr w:type="spellEnd"/>
      <w:r w:rsidRPr="009106D3">
        <w:t>".</w:t>
      </w:r>
    </w:p>
    <w:p w:rsidR="002572A0" w:rsidRPr="009106D3" w:rsidRDefault="00381314" w:rsidP="002572A0">
      <w:pPr>
        <w:autoSpaceDE w:val="0"/>
        <w:autoSpaceDN w:val="0"/>
        <w:adjustRightInd w:val="0"/>
        <w:jc w:val="center"/>
        <w:rPr>
          <w:b/>
        </w:rPr>
      </w:pPr>
      <w:r w:rsidRPr="009106D3">
        <w:rPr>
          <w:b/>
        </w:rPr>
        <w:t xml:space="preserve">Состояние внутреннего финансового аудита. </w:t>
      </w:r>
    </w:p>
    <w:p w:rsidR="00381314" w:rsidRPr="009106D3" w:rsidRDefault="00381314" w:rsidP="00F50BE2">
      <w:pPr>
        <w:autoSpaceDE w:val="0"/>
        <w:autoSpaceDN w:val="0"/>
        <w:adjustRightInd w:val="0"/>
        <w:ind w:firstLine="709"/>
        <w:jc w:val="both"/>
      </w:pPr>
      <w:r w:rsidRPr="009106D3">
        <w:t>В соответствии с п.3 ст.160.2-1 БК РФ главные распорядители (распорядители)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 (их уполномоченные должностные лица) осуществляют на основе функциональной независимости внутренний финансовый аудит.</w:t>
      </w:r>
    </w:p>
    <w:p w:rsidR="00381314" w:rsidRPr="009106D3" w:rsidRDefault="00FE2217" w:rsidP="00F50BE2">
      <w:pPr>
        <w:autoSpaceDE w:val="0"/>
        <w:autoSpaceDN w:val="0"/>
        <w:adjustRightInd w:val="0"/>
        <w:ind w:firstLine="709"/>
        <w:jc w:val="both"/>
      </w:pPr>
      <w:hyperlink r:id="rId8" w:history="1">
        <w:r w:rsidR="00381314" w:rsidRPr="009106D3">
          <w:t>Постановлением</w:t>
        </w:r>
      </w:hyperlink>
      <w:r w:rsidR="00381314" w:rsidRPr="009106D3">
        <w:t xml:space="preserve"> Правительства Волгоградской области от 26.05.2014 №266-п утвержден Порядок осуществления внутреннего финансового контроля и внутреннего финансового аудита на территории Волгоградской области (далее Порядок №266-п).</w:t>
      </w:r>
    </w:p>
    <w:p w:rsidR="00381314" w:rsidRPr="009106D3" w:rsidRDefault="00381314" w:rsidP="00F50BE2">
      <w:pPr>
        <w:autoSpaceDE w:val="0"/>
        <w:autoSpaceDN w:val="0"/>
        <w:adjustRightInd w:val="0"/>
        <w:ind w:firstLine="709"/>
        <w:jc w:val="both"/>
      </w:pPr>
      <w:bookmarkStart w:id="2" w:name="sub_33"/>
      <w:r w:rsidRPr="009106D3">
        <w:t>В соответствии с п. 5 ст. 160.2-1 БК РФ Комитетом издан приказ от 03.04.2017 № 17 «Об организации внутреннего финансового контроля и внутреннего финансового аудита в комитете по делам территориальных образований, внутренней и информационной политики Волгоградской области» (далее – Приказ №17).</w:t>
      </w:r>
    </w:p>
    <w:p w:rsidR="00B81CB5" w:rsidRPr="009106D3" w:rsidRDefault="00381314" w:rsidP="00F50BE2">
      <w:pPr>
        <w:autoSpaceDE w:val="0"/>
        <w:autoSpaceDN w:val="0"/>
        <w:adjustRightInd w:val="0"/>
        <w:ind w:firstLine="709"/>
        <w:jc w:val="both"/>
      </w:pPr>
      <w:r w:rsidRPr="009106D3">
        <w:t>Согласно Приказу №17 сектор внутреннего финансового аудита наделен полномочиями по осуществлению внутреннего финансового аудита.</w:t>
      </w:r>
      <w:r w:rsidR="00B81CB5" w:rsidRPr="009106D3">
        <w:t xml:space="preserve"> </w:t>
      </w:r>
    </w:p>
    <w:p w:rsidR="002540AC" w:rsidRPr="009106D3" w:rsidRDefault="00381314" w:rsidP="00F50BE2">
      <w:pPr>
        <w:autoSpaceDE w:val="0"/>
        <w:autoSpaceDN w:val="0"/>
        <w:adjustRightInd w:val="0"/>
        <w:ind w:firstLine="709"/>
        <w:jc w:val="both"/>
      </w:pPr>
      <w:r w:rsidRPr="009106D3">
        <w:t>В соответствии с планом проведения внутреннего финансового аудита Комитета на 2019 год, утвержденн</w:t>
      </w:r>
      <w:r w:rsidR="002540AC" w:rsidRPr="009106D3">
        <w:t>ым</w:t>
      </w:r>
      <w:r w:rsidRPr="009106D3">
        <w:t xml:space="preserve"> приказом Комитета от 19.12.2018 №230</w:t>
      </w:r>
      <w:r w:rsidR="00F36117" w:rsidRPr="009106D3">
        <w:t>,</w:t>
      </w:r>
      <w:r w:rsidRPr="009106D3">
        <w:t xml:space="preserve"> проведено </w:t>
      </w:r>
      <w:r w:rsidRPr="009106D3">
        <w:rPr>
          <w:b/>
          <w:i/>
        </w:rPr>
        <w:t>7 аудиторских мероприятий в 3 структурных подразделениях</w:t>
      </w:r>
      <w:r w:rsidR="00E5182E" w:rsidRPr="009106D3">
        <w:rPr>
          <w:b/>
          <w:i/>
        </w:rPr>
        <w:t xml:space="preserve"> </w:t>
      </w:r>
      <w:r w:rsidR="00E5182E" w:rsidRPr="009106D3">
        <w:t xml:space="preserve"> П</w:t>
      </w:r>
      <w:r w:rsidR="002540AC" w:rsidRPr="009106D3">
        <w:t>риложени</w:t>
      </w:r>
      <w:r w:rsidR="00E5182E" w:rsidRPr="009106D3">
        <w:t>е</w:t>
      </w:r>
      <w:r w:rsidR="00CD0E3B" w:rsidRPr="009106D3">
        <w:t xml:space="preserve"> 6.</w:t>
      </w:r>
    </w:p>
    <w:bookmarkEnd w:id="2"/>
    <w:p w:rsidR="0077527E" w:rsidRPr="009106D3" w:rsidRDefault="0077527E" w:rsidP="00F50BE2">
      <w:pPr>
        <w:autoSpaceDE w:val="0"/>
        <w:autoSpaceDN w:val="0"/>
        <w:adjustRightInd w:val="0"/>
        <w:ind w:firstLine="709"/>
        <w:jc w:val="both"/>
      </w:pPr>
      <w:r w:rsidRPr="009106D3">
        <w:t>Информация о состоянии внутреннего финансового ау</w:t>
      </w:r>
      <w:r w:rsidR="00C16779" w:rsidRPr="009106D3">
        <w:t xml:space="preserve">дита представлена в </w:t>
      </w:r>
      <w:r w:rsidR="00B81CB5" w:rsidRPr="009106D3">
        <w:t xml:space="preserve">              </w:t>
      </w:r>
      <w:r w:rsidR="00C16779" w:rsidRPr="009106D3">
        <w:t xml:space="preserve">Приложении </w:t>
      </w:r>
      <w:r w:rsidR="00C26EB7" w:rsidRPr="009106D3">
        <w:t>7</w:t>
      </w:r>
      <w:r w:rsidRPr="009106D3">
        <w:t>.</w:t>
      </w:r>
    </w:p>
    <w:p w:rsidR="0077527E" w:rsidRPr="009106D3" w:rsidRDefault="00075FB3" w:rsidP="00F50BE2">
      <w:pPr>
        <w:autoSpaceDE w:val="0"/>
        <w:autoSpaceDN w:val="0"/>
        <w:adjustRightInd w:val="0"/>
        <w:ind w:firstLine="709"/>
        <w:jc w:val="both"/>
      </w:pPr>
      <w:r w:rsidRPr="009106D3">
        <w:t xml:space="preserve">Несмотря на признание по результатам внутреннего финансового контроля работы в управлении информационной политикой недостаточно эффективной, действенные меры Комитетом не приняты. </w:t>
      </w:r>
      <w:r w:rsidR="00FD1405" w:rsidRPr="009106D3">
        <w:t xml:space="preserve">Отсутствие </w:t>
      </w:r>
      <w:r w:rsidRPr="009106D3">
        <w:t>мер, принятых в целях результативного и целевого использовани</w:t>
      </w:r>
      <w:r w:rsidR="00E5182E" w:rsidRPr="009106D3">
        <w:t>я</w:t>
      </w:r>
      <w:r w:rsidRPr="009106D3">
        <w:t xml:space="preserve"> средств областного бюджета</w:t>
      </w:r>
      <w:r w:rsidR="00E5182E" w:rsidRPr="009106D3">
        <w:t>,</w:t>
      </w:r>
      <w:r w:rsidRPr="009106D3">
        <w:t xml:space="preserve"> п</w:t>
      </w:r>
      <w:r w:rsidR="00FD1405" w:rsidRPr="009106D3">
        <w:t xml:space="preserve">одтверждается </w:t>
      </w:r>
      <w:r w:rsidR="0077527E" w:rsidRPr="009106D3">
        <w:t>несоблюдением требований Порядка № 449-п в части допуска к участию в конкурсном отборе и необоснованны</w:t>
      </w:r>
      <w:r w:rsidR="00E5182E" w:rsidRPr="009106D3">
        <w:t>м</w:t>
      </w:r>
      <w:r w:rsidR="0077527E" w:rsidRPr="009106D3">
        <w:t xml:space="preserve"> возврат</w:t>
      </w:r>
      <w:r w:rsidR="00E5182E" w:rsidRPr="009106D3">
        <w:t>ом</w:t>
      </w:r>
      <w:r w:rsidR="0077527E" w:rsidRPr="009106D3">
        <w:t xml:space="preserve"> отчетов по грантам СМИ и субсидиям СО НКО на доработку</w:t>
      </w:r>
      <w:r w:rsidR="00FA51DC" w:rsidRPr="009106D3">
        <w:t>, что привело к</w:t>
      </w:r>
      <w:r w:rsidR="0077527E" w:rsidRPr="009106D3">
        <w:t xml:space="preserve"> увеличени</w:t>
      </w:r>
      <w:r w:rsidR="00FA51DC" w:rsidRPr="009106D3">
        <w:t>ю</w:t>
      </w:r>
      <w:r w:rsidR="0077527E" w:rsidRPr="009106D3">
        <w:t xml:space="preserve"> просроченной дебиторской задолженности Комитета на конец отчетного периода. </w:t>
      </w:r>
    </w:p>
    <w:p w:rsidR="002572A0" w:rsidRPr="009106D3" w:rsidRDefault="002572A0" w:rsidP="00F50BE2">
      <w:pPr>
        <w:autoSpaceDE w:val="0"/>
        <w:autoSpaceDN w:val="0"/>
        <w:adjustRightInd w:val="0"/>
        <w:ind w:firstLine="709"/>
        <w:jc w:val="both"/>
      </w:pPr>
    </w:p>
    <w:p w:rsidR="00513CB4" w:rsidRPr="009106D3" w:rsidRDefault="00381314" w:rsidP="00F50BE2">
      <w:pPr>
        <w:ind w:firstLine="709"/>
        <w:jc w:val="center"/>
        <w:rPr>
          <w:b/>
        </w:rPr>
      </w:pPr>
      <w:r w:rsidRPr="009106D3">
        <w:rPr>
          <w:b/>
        </w:rPr>
        <w:t>Выводы</w:t>
      </w:r>
    </w:p>
    <w:p w:rsidR="00381314" w:rsidRPr="009106D3" w:rsidRDefault="00381314" w:rsidP="00F50BE2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426"/>
        <w:jc w:val="both"/>
      </w:pPr>
      <w:r w:rsidRPr="009106D3">
        <w:t xml:space="preserve">Проверкой состава и содержания бюджетной отчетности установлено </w:t>
      </w:r>
      <w:r w:rsidR="00E75A4E" w:rsidRPr="009106D3">
        <w:t>3</w:t>
      </w:r>
      <w:r w:rsidRPr="009106D3">
        <w:t xml:space="preserve"> случа</w:t>
      </w:r>
      <w:r w:rsidR="00E75A4E" w:rsidRPr="009106D3">
        <w:t>я</w:t>
      </w:r>
      <w:r w:rsidRPr="009106D3">
        <w:t xml:space="preserve"> нарушения положений Инструкции № 191н при составлении </w:t>
      </w:r>
      <w:r w:rsidR="00E75A4E" w:rsidRPr="009106D3">
        <w:t>3</w:t>
      </w:r>
      <w:r w:rsidRPr="009106D3">
        <w:t xml:space="preserve"> форм бюджетной отчетности,  которые устранены в ходе проверки. </w:t>
      </w:r>
    </w:p>
    <w:p w:rsidR="00E75A4E" w:rsidRPr="009106D3" w:rsidRDefault="00E5182E" w:rsidP="00F50BE2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426"/>
        <w:jc w:val="both"/>
      </w:pPr>
      <w:r w:rsidRPr="009106D3">
        <w:t>И</w:t>
      </w:r>
      <w:r w:rsidR="00E75A4E" w:rsidRPr="009106D3">
        <w:t>сполнени</w:t>
      </w:r>
      <w:r w:rsidRPr="009106D3">
        <w:t>е</w:t>
      </w:r>
      <w:r w:rsidR="00E75A4E" w:rsidRPr="009106D3">
        <w:t xml:space="preserve"> </w:t>
      </w:r>
      <w:r w:rsidRPr="009106D3">
        <w:t xml:space="preserve">отдельных видов </w:t>
      </w:r>
      <w:r w:rsidR="00E75A4E" w:rsidRPr="009106D3">
        <w:t xml:space="preserve">доходов </w:t>
      </w:r>
      <w:r w:rsidRPr="009106D3">
        <w:t xml:space="preserve">превышает на 10% </w:t>
      </w:r>
      <w:r w:rsidR="00E75A4E" w:rsidRPr="009106D3">
        <w:t>прогнозны</w:t>
      </w:r>
      <w:r w:rsidR="002E52FC" w:rsidRPr="009106D3">
        <w:t>е</w:t>
      </w:r>
      <w:r w:rsidR="00E75A4E" w:rsidRPr="009106D3">
        <w:t xml:space="preserve"> показател</w:t>
      </w:r>
      <w:r w:rsidR="002E52FC" w:rsidRPr="009106D3">
        <w:t>и</w:t>
      </w:r>
      <w:r w:rsidR="00A66375" w:rsidRPr="009106D3">
        <w:t xml:space="preserve"> в сторону невыполнения, что в соответствии со Стандартом </w:t>
      </w:r>
      <w:r w:rsidR="00A66375" w:rsidRPr="009106D3">
        <w:rPr>
          <w:snapToGrid w:val="0"/>
        </w:rPr>
        <w:t>финансового контроля КСП</w:t>
      </w:r>
      <w:r w:rsidR="00A66375" w:rsidRPr="009106D3">
        <w:t xml:space="preserve"> расценивается </w:t>
      </w:r>
      <w:r w:rsidR="00471305" w:rsidRPr="009106D3">
        <w:t>как некачественное планирование и указывает н</w:t>
      </w:r>
      <w:r w:rsidR="00AD3F85" w:rsidRPr="009106D3">
        <w:t>е</w:t>
      </w:r>
      <w:r w:rsidR="00471305" w:rsidRPr="009106D3">
        <w:t xml:space="preserve"> надлежащее исполнение полномочий главного администратора доходов, установленных п. 1 ст. 160.1 БК РФ, по корректировке прогноза поступлений доходов.</w:t>
      </w:r>
    </w:p>
    <w:p w:rsidR="00F16327" w:rsidRPr="009106D3" w:rsidRDefault="00A66375" w:rsidP="00F50BE2">
      <w:pPr>
        <w:pStyle w:val="ac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106D3">
        <w:rPr>
          <w:rFonts w:ascii="Times New Roman" w:hAnsi="Times New Roman" w:cs="Times New Roman"/>
          <w:snapToGrid w:val="0"/>
          <w:sz w:val="24"/>
          <w:szCs w:val="24"/>
        </w:rPr>
        <w:t xml:space="preserve">За 2019 год расходы Комитета исполнены на </w:t>
      </w:r>
      <w:r w:rsidR="00B87CCD" w:rsidRPr="009106D3">
        <w:rPr>
          <w:rFonts w:ascii="Times New Roman" w:hAnsi="Times New Roman" w:cs="Times New Roman"/>
          <w:sz w:val="24"/>
          <w:szCs w:val="24"/>
        </w:rPr>
        <w:t>334</w:t>
      </w:r>
      <w:r w:rsidR="000D42F6" w:rsidRPr="009106D3">
        <w:rPr>
          <w:rFonts w:ascii="Times New Roman" w:hAnsi="Times New Roman" w:cs="Times New Roman"/>
          <w:sz w:val="24"/>
          <w:szCs w:val="24"/>
        </w:rPr>
        <w:t xml:space="preserve">968,2 тыс. руб., или 98,8% </w:t>
      </w:r>
      <w:r w:rsidR="000D42F6" w:rsidRPr="009106D3">
        <w:rPr>
          <w:rFonts w:ascii="Times New Roman" w:hAnsi="Times New Roman" w:cs="Times New Roman"/>
          <w:snapToGrid w:val="0"/>
          <w:sz w:val="24"/>
          <w:szCs w:val="24"/>
        </w:rPr>
        <w:t>от</w:t>
      </w:r>
      <w:r w:rsidR="000D42F6" w:rsidRPr="009106D3">
        <w:rPr>
          <w:rFonts w:ascii="Times New Roman" w:hAnsi="Times New Roman" w:cs="Times New Roman"/>
          <w:sz w:val="24"/>
          <w:szCs w:val="24"/>
        </w:rPr>
        <w:t xml:space="preserve"> </w:t>
      </w:r>
      <w:r w:rsidR="0070261A" w:rsidRPr="009106D3">
        <w:rPr>
          <w:rFonts w:ascii="Times New Roman" w:hAnsi="Times New Roman" w:cs="Times New Roman"/>
          <w:sz w:val="24"/>
          <w:szCs w:val="24"/>
        </w:rPr>
        <w:t>бюджетных</w:t>
      </w:r>
      <w:r w:rsidR="000D42F6" w:rsidRPr="009106D3">
        <w:rPr>
          <w:rFonts w:ascii="Times New Roman" w:hAnsi="Times New Roman" w:cs="Times New Roman"/>
          <w:sz w:val="24"/>
          <w:szCs w:val="24"/>
        </w:rPr>
        <w:t xml:space="preserve"> ассигнований</w:t>
      </w:r>
      <w:r w:rsidR="0070261A" w:rsidRPr="009106D3">
        <w:rPr>
          <w:rFonts w:ascii="Times New Roman" w:hAnsi="Times New Roman" w:cs="Times New Roman"/>
          <w:sz w:val="24"/>
          <w:szCs w:val="24"/>
        </w:rPr>
        <w:t xml:space="preserve"> по бюджетной росписи</w:t>
      </w:r>
      <w:r w:rsidR="000D42F6" w:rsidRPr="009106D3">
        <w:rPr>
          <w:rFonts w:ascii="Times New Roman" w:hAnsi="Times New Roman" w:cs="Times New Roman"/>
          <w:sz w:val="24"/>
          <w:szCs w:val="24"/>
        </w:rPr>
        <w:t>.</w:t>
      </w:r>
    </w:p>
    <w:p w:rsidR="002E6D23" w:rsidRPr="009106D3" w:rsidRDefault="002E6D23" w:rsidP="00F50BE2">
      <w:pPr>
        <w:pStyle w:val="ac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9106D3">
        <w:rPr>
          <w:rFonts w:ascii="Times New Roman" w:hAnsi="Times New Roman" w:cs="Times New Roman"/>
          <w:sz w:val="24"/>
          <w:szCs w:val="24"/>
        </w:rPr>
        <w:t>Н</w:t>
      </w:r>
      <w:r w:rsidR="00F16327" w:rsidRPr="009106D3">
        <w:rPr>
          <w:rFonts w:ascii="Times New Roman" w:hAnsi="Times New Roman" w:cs="Times New Roman"/>
          <w:sz w:val="24"/>
          <w:szCs w:val="24"/>
        </w:rPr>
        <w:t xml:space="preserve">а 01.01.2020 </w:t>
      </w:r>
      <w:r w:rsidRPr="009106D3">
        <w:rPr>
          <w:rFonts w:ascii="Times New Roman" w:hAnsi="Times New Roman" w:cs="Times New Roman"/>
          <w:sz w:val="24"/>
          <w:szCs w:val="24"/>
        </w:rPr>
        <w:t>дебиторская задолженность</w:t>
      </w:r>
      <w:r w:rsidR="00F16327" w:rsidRPr="009106D3">
        <w:rPr>
          <w:rFonts w:ascii="Times New Roman" w:hAnsi="Times New Roman" w:cs="Times New Roman"/>
          <w:sz w:val="24"/>
          <w:szCs w:val="24"/>
        </w:rPr>
        <w:t xml:space="preserve"> Комитета увелич</w:t>
      </w:r>
      <w:r w:rsidRPr="009106D3">
        <w:rPr>
          <w:rFonts w:ascii="Times New Roman" w:hAnsi="Times New Roman" w:cs="Times New Roman"/>
          <w:sz w:val="24"/>
          <w:szCs w:val="24"/>
        </w:rPr>
        <w:t>илась</w:t>
      </w:r>
      <w:r w:rsidR="00F16327" w:rsidRPr="009106D3">
        <w:rPr>
          <w:rFonts w:ascii="Times New Roman" w:hAnsi="Times New Roman" w:cs="Times New Roman"/>
          <w:sz w:val="24"/>
          <w:szCs w:val="24"/>
        </w:rPr>
        <w:t xml:space="preserve"> на 46830,8 тыс. руб.</w:t>
      </w:r>
      <w:r w:rsidRPr="009106D3">
        <w:rPr>
          <w:rFonts w:ascii="Times New Roman" w:hAnsi="Times New Roman" w:cs="Times New Roman"/>
          <w:sz w:val="24"/>
          <w:szCs w:val="24"/>
        </w:rPr>
        <w:t>,</w:t>
      </w:r>
      <w:r w:rsidR="00061774" w:rsidRPr="009106D3">
        <w:rPr>
          <w:rFonts w:ascii="Times New Roman" w:hAnsi="Times New Roman" w:cs="Times New Roman"/>
          <w:sz w:val="24"/>
          <w:szCs w:val="24"/>
        </w:rPr>
        <w:t xml:space="preserve"> или на 53 процента.</w:t>
      </w:r>
      <w:r w:rsidR="00F16327" w:rsidRPr="009106D3">
        <w:rPr>
          <w:rFonts w:ascii="Times New Roman" w:hAnsi="Times New Roman" w:cs="Times New Roman"/>
          <w:sz w:val="24"/>
          <w:szCs w:val="24"/>
        </w:rPr>
        <w:t xml:space="preserve"> </w:t>
      </w:r>
      <w:r w:rsidRPr="009106D3">
        <w:rPr>
          <w:rFonts w:ascii="Times New Roman" w:hAnsi="Times New Roman" w:cs="Times New Roman"/>
          <w:sz w:val="24"/>
          <w:szCs w:val="24"/>
        </w:rPr>
        <w:t>При этом п</w:t>
      </w:r>
      <w:r w:rsidR="00F16327" w:rsidRPr="009106D3">
        <w:rPr>
          <w:rFonts w:ascii="Times New Roman" w:hAnsi="Times New Roman" w:cs="Times New Roman"/>
          <w:sz w:val="24"/>
          <w:szCs w:val="24"/>
        </w:rPr>
        <w:t xml:space="preserve">росроченная дебиторская задолженность </w:t>
      </w:r>
      <w:r w:rsidR="009E34FE" w:rsidRPr="009106D3">
        <w:rPr>
          <w:rFonts w:ascii="Times New Roman" w:hAnsi="Times New Roman" w:cs="Times New Roman"/>
          <w:sz w:val="24"/>
          <w:szCs w:val="24"/>
        </w:rPr>
        <w:t xml:space="preserve">увеличилась на </w:t>
      </w:r>
      <w:r w:rsidRPr="009106D3">
        <w:rPr>
          <w:rFonts w:ascii="Times New Roman" w:hAnsi="Times New Roman" w:cs="Times New Roman"/>
          <w:sz w:val="24"/>
          <w:szCs w:val="24"/>
        </w:rPr>
        <w:t>25268,8 тыс. руб., или в 3,3 раза</w:t>
      </w:r>
      <w:r w:rsidR="009E34FE" w:rsidRPr="009106D3">
        <w:rPr>
          <w:rFonts w:ascii="Times New Roman" w:hAnsi="Times New Roman" w:cs="Times New Roman"/>
          <w:sz w:val="24"/>
          <w:szCs w:val="24"/>
        </w:rPr>
        <w:t xml:space="preserve">, и составила </w:t>
      </w:r>
      <w:r w:rsidR="00F16327" w:rsidRPr="009106D3">
        <w:rPr>
          <w:rFonts w:ascii="Times New Roman" w:hAnsi="Times New Roman" w:cs="Times New Roman"/>
          <w:sz w:val="24"/>
          <w:szCs w:val="24"/>
        </w:rPr>
        <w:t>36010,9 тыс. руб</w:t>
      </w:r>
      <w:r w:rsidRPr="009106D3">
        <w:rPr>
          <w:rFonts w:ascii="Times New Roman" w:hAnsi="Times New Roman" w:cs="Times New Roman"/>
          <w:sz w:val="24"/>
          <w:szCs w:val="24"/>
        </w:rPr>
        <w:t>лей. Основное у</w:t>
      </w:r>
      <w:r w:rsidR="009E34FE" w:rsidRPr="009106D3">
        <w:rPr>
          <w:rFonts w:ascii="Times New Roman" w:hAnsi="Times New Roman" w:cs="Times New Roman"/>
          <w:sz w:val="24"/>
          <w:szCs w:val="24"/>
        </w:rPr>
        <w:t xml:space="preserve">величение просроченной дебиторской задолженности сложилось в связи с несоблюдением требований </w:t>
      </w:r>
      <w:r w:rsidR="009E34FE" w:rsidRPr="009106D3">
        <w:rPr>
          <w:rFonts w:ascii="Times New Roman" w:hAnsi="Times New Roman" w:cs="Times New Roman"/>
          <w:sz w:val="24"/>
          <w:szCs w:val="24"/>
        </w:rPr>
        <w:lastRenderedPageBreak/>
        <w:t xml:space="preserve">Комитетом при предоставлении грантов </w:t>
      </w:r>
      <w:r w:rsidR="00453E75" w:rsidRPr="009106D3">
        <w:rPr>
          <w:rFonts w:ascii="Times New Roman" w:hAnsi="Times New Roman" w:cs="Times New Roman"/>
          <w:sz w:val="24"/>
          <w:szCs w:val="24"/>
        </w:rPr>
        <w:t xml:space="preserve">и приеме отчетов </w:t>
      </w:r>
      <w:r w:rsidR="009E34FE" w:rsidRPr="009106D3">
        <w:rPr>
          <w:rFonts w:ascii="Times New Roman" w:hAnsi="Times New Roman" w:cs="Times New Roman"/>
          <w:sz w:val="24"/>
          <w:szCs w:val="24"/>
        </w:rPr>
        <w:t>СМИ</w:t>
      </w:r>
      <w:r w:rsidR="00453E75" w:rsidRPr="009106D3">
        <w:rPr>
          <w:rFonts w:ascii="Times New Roman" w:hAnsi="Times New Roman" w:cs="Times New Roman"/>
          <w:sz w:val="24"/>
          <w:szCs w:val="24"/>
        </w:rPr>
        <w:t xml:space="preserve"> </w:t>
      </w:r>
      <w:r w:rsidRPr="009106D3">
        <w:rPr>
          <w:rFonts w:ascii="Times New Roman" w:hAnsi="Times New Roman" w:cs="Times New Roman"/>
          <w:sz w:val="24"/>
          <w:szCs w:val="24"/>
        </w:rPr>
        <w:t>(34029,4 тыс.</w:t>
      </w:r>
      <w:r w:rsidR="00BA283F" w:rsidRPr="009106D3">
        <w:rPr>
          <w:rFonts w:ascii="Times New Roman" w:hAnsi="Times New Roman" w:cs="Times New Roman"/>
          <w:sz w:val="24"/>
          <w:szCs w:val="24"/>
        </w:rPr>
        <w:t xml:space="preserve"> </w:t>
      </w:r>
      <w:r w:rsidRPr="009106D3">
        <w:rPr>
          <w:rFonts w:ascii="Times New Roman" w:hAnsi="Times New Roman" w:cs="Times New Roman"/>
          <w:sz w:val="24"/>
          <w:szCs w:val="24"/>
        </w:rPr>
        <w:t xml:space="preserve">руб.) </w:t>
      </w:r>
      <w:r w:rsidR="009E34FE" w:rsidRPr="009106D3">
        <w:rPr>
          <w:rFonts w:ascii="Times New Roman" w:hAnsi="Times New Roman" w:cs="Times New Roman"/>
          <w:sz w:val="24"/>
          <w:szCs w:val="24"/>
        </w:rPr>
        <w:t>и субсидий СО НКО</w:t>
      </w:r>
      <w:r w:rsidRPr="009106D3">
        <w:rPr>
          <w:rFonts w:ascii="Times New Roman" w:hAnsi="Times New Roman" w:cs="Times New Roman"/>
          <w:sz w:val="24"/>
          <w:szCs w:val="24"/>
        </w:rPr>
        <w:t xml:space="preserve"> (239,5 тыс.</w:t>
      </w:r>
      <w:r w:rsidR="00BA283F" w:rsidRPr="009106D3">
        <w:rPr>
          <w:rFonts w:ascii="Times New Roman" w:hAnsi="Times New Roman" w:cs="Times New Roman"/>
          <w:sz w:val="24"/>
          <w:szCs w:val="24"/>
        </w:rPr>
        <w:t xml:space="preserve"> </w:t>
      </w:r>
      <w:r w:rsidRPr="009106D3">
        <w:rPr>
          <w:rFonts w:ascii="Times New Roman" w:hAnsi="Times New Roman" w:cs="Times New Roman"/>
          <w:sz w:val="24"/>
          <w:szCs w:val="24"/>
        </w:rPr>
        <w:t>руб.)</w:t>
      </w:r>
      <w:r w:rsidR="00453E75" w:rsidRPr="009106D3">
        <w:rPr>
          <w:rFonts w:ascii="Times New Roman" w:hAnsi="Times New Roman" w:cs="Times New Roman"/>
          <w:sz w:val="24"/>
          <w:szCs w:val="24"/>
        </w:rPr>
        <w:t xml:space="preserve">. </w:t>
      </w:r>
      <w:r w:rsidR="00E927D2" w:rsidRPr="009106D3">
        <w:rPr>
          <w:rFonts w:ascii="Times New Roman" w:hAnsi="Times New Roman" w:cs="Times New Roman"/>
          <w:sz w:val="24"/>
          <w:szCs w:val="24"/>
        </w:rPr>
        <w:t xml:space="preserve">Комитет не воспользовался правом требовать возврата субсидий </w:t>
      </w:r>
      <w:r w:rsidR="009E34FE" w:rsidRPr="009106D3">
        <w:rPr>
          <w:rFonts w:ascii="Times New Roman" w:hAnsi="Times New Roman" w:cs="Times New Roman"/>
          <w:sz w:val="24"/>
          <w:szCs w:val="24"/>
        </w:rPr>
        <w:t xml:space="preserve">и грантов </w:t>
      </w:r>
      <w:r w:rsidR="00E927D2" w:rsidRPr="009106D3">
        <w:rPr>
          <w:rFonts w:ascii="Times New Roman" w:hAnsi="Times New Roman" w:cs="Times New Roman"/>
          <w:sz w:val="24"/>
          <w:szCs w:val="24"/>
        </w:rPr>
        <w:t>в областной бюджет, тем самым не исполнил полномочия, установленные п.3 ч.1 ст. 162 БК РФ</w:t>
      </w:r>
      <w:r w:rsidR="0043575B" w:rsidRPr="009106D3">
        <w:rPr>
          <w:rFonts w:ascii="Times New Roman" w:hAnsi="Times New Roman" w:cs="Times New Roman"/>
          <w:sz w:val="24"/>
          <w:szCs w:val="24"/>
        </w:rPr>
        <w:t xml:space="preserve"> в части обеспечения результативности, целевого характера использования предусмотренных бюджетных ассигнований. </w:t>
      </w:r>
    </w:p>
    <w:p w:rsidR="00264E9C" w:rsidRPr="009106D3" w:rsidRDefault="00264E9C" w:rsidP="00F50BE2">
      <w:pPr>
        <w:pStyle w:val="ac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06D3">
        <w:rPr>
          <w:rFonts w:ascii="Times New Roman" w:hAnsi="Times New Roman" w:cs="Times New Roman"/>
          <w:sz w:val="24"/>
          <w:szCs w:val="24"/>
        </w:rPr>
        <w:t>Фактически в течение трех лет Комитетом работа по приемке отчетов</w:t>
      </w:r>
      <w:r w:rsidR="00EC728A" w:rsidRPr="009106D3">
        <w:rPr>
          <w:rFonts w:ascii="Times New Roman" w:hAnsi="Times New Roman" w:cs="Times New Roman"/>
          <w:sz w:val="24"/>
          <w:szCs w:val="24"/>
        </w:rPr>
        <w:t xml:space="preserve"> при предоставлении грантов СМИ и</w:t>
      </w:r>
      <w:r w:rsidRPr="009106D3">
        <w:rPr>
          <w:rFonts w:ascii="Times New Roman" w:hAnsi="Times New Roman" w:cs="Times New Roman"/>
          <w:sz w:val="24"/>
          <w:szCs w:val="24"/>
        </w:rPr>
        <w:t xml:space="preserve"> субсидий СО НКО надлежащим образом не организована.</w:t>
      </w:r>
      <w:r w:rsidR="00594B4C" w:rsidRPr="009106D3">
        <w:rPr>
          <w:rFonts w:ascii="Times New Roman" w:hAnsi="Times New Roman" w:cs="Times New Roman"/>
          <w:sz w:val="24"/>
          <w:szCs w:val="24"/>
        </w:rPr>
        <w:t xml:space="preserve"> </w:t>
      </w:r>
      <w:r w:rsidRPr="009106D3">
        <w:rPr>
          <w:rFonts w:ascii="Times New Roman" w:hAnsi="Times New Roman" w:cs="Times New Roman"/>
          <w:sz w:val="24"/>
          <w:szCs w:val="24"/>
        </w:rPr>
        <w:t>Непринятие своевременных мер по приемке отчетов и обеспечению возврата средств субсидии в областной бюджет в случае выявления нарушений, в том числе использования субсидии на цели, не предусмо</w:t>
      </w:r>
      <w:r w:rsidR="00EC728A" w:rsidRPr="009106D3">
        <w:rPr>
          <w:rFonts w:ascii="Times New Roman" w:hAnsi="Times New Roman" w:cs="Times New Roman"/>
          <w:sz w:val="24"/>
          <w:szCs w:val="24"/>
        </w:rPr>
        <w:t>тренные Соглашениями и сметами</w:t>
      </w:r>
      <w:r w:rsidRPr="009106D3">
        <w:rPr>
          <w:rFonts w:ascii="Times New Roman" w:hAnsi="Times New Roman" w:cs="Times New Roman"/>
          <w:sz w:val="24"/>
          <w:szCs w:val="24"/>
        </w:rPr>
        <w:t xml:space="preserve"> расходов к ним, может привести к отсутствию возможности взыскания данной задолженности в связи с истечением срока исковой давности. </w:t>
      </w:r>
    </w:p>
    <w:p w:rsidR="008A61E3" w:rsidRPr="009106D3" w:rsidRDefault="008A61E3" w:rsidP="00F50BE2">
      <w:pPr>
        <w:pStyle w:val="ac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06D3">
        <w:rPr>
          <w:rFonts w:ascii="Times New Roman" w:hAnsi="Times New Roman" w:cs="Times New Roman"/>
          <w:sz w:val="24"/>
          <w:szCs w:val="24"/>
        </w:rPr>
        <w:t>По состоянию на 31.12.2019 года числится кредиторская задолженность по субсидии на выполнение государственного задания перед подведомственным учреждением в сумме 672,2 тыс</w:t>
      </w:r>
      <w:proofErr w:type="gramStart"/>
      <w:r w:rsidRPr="009106D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106D3">
        <w:rPr>
          <w:rFonts w:ascii="Times New Roman" w:hAnsi="Times New Roman" w:cs="Times New Roman"/>
          <w:sz w:val="24"/>
          <w:szCs w:val="24"/>
        </w:rPr>
        <w:t>уб. при отсутствии заявок от ГБУ ВО "РИАЦ" на ее перечисление в связи с отсутствием у него принятых денежных обязательств.</w:t>
      </w:r>
    </w:p>
    <w:p w:rsidR="00746B58" w:rsidRPr="009106D3" w:rsidRDefault="00945B73" w:rsidP="00F50BE2">
      <w:pPr>
        <w:pStyle w:val="ac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2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9106D3">
        <w:rPr>
          <w:rFonts w:ascii="Times New Roman" w:hAnsi="Times New Roman" w:cs="Times New Roman"/>
          <w:sz w:val="24"/>
          <w:szCs w:val="24"/>
        </w:rPr>
        <w:t xml:space="preserve">По </w:t>
      </w:r>
      <w:r w:rsidRPr="009106D3">
        <w:rPr>
          <w:rFonts w:ascii="Times New Roman" w:eastAsia="Calibri" w:hAnsi="Times New Roman" w:cs="Times New Roman"/>
          <w:sz w:val="24"/>
          <w:szCs w:val="24"/>
        </w:rPr>
        <w:t>подпрограмм</w:t>
      </w:r>
      <w:r w:rsidRPr="009106D3">
        <w:rPr>
          <w:rFonts w:ascii="Times New Roman" w:hAnsi="Times New Roman" w:cs="Times New Roman"/>
          <w:sz w:val="24"/>
          <w:szCs w:val="24"/>
        </w:rPr>
        <w:t>е</w:t>
      </w:r>
      <w:r w:rsidRPr="009106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06D3">
        <w:rPr>
          <w:rFonts w:ascii="Times New Roman" w:hAnsi="Times New Roman" w:cs="Times New Roman"/>
          <w:sz w:val="24"/>
          <w:szCs w:val="24"/>
        </w:rPr>
        <w:t>«</w:t>
      </w:r>
      <w:r w:rsidRPr="009106D3">
        <w:rPr>
          <w:rFonts w:ascii="Times New Roman" w:eastAsia="Calibri" w:hAnsi="Times New Roman" w:cs="Times New Roman"/>
          <w:sz w:val="24"/>
          <w:szCs w:val="24"/>
        </w:rPr>
        <w:t xml:space="preserve">Государственная поддержка </w:t>
      </w:r>
      <w:r w:rsidRPr="009106D3">
        <w:rPr>
          <w:rFonts w:ascii="Times New Roman" w:hAnsi="Times New Roman" w:cs="Times New Roman"/>
          <w:sz w:val="24"/>
          <w:szCs w:val="24"/>
        </w:rPr>
        <w:t>СО НКО</w:t>
      </w:r>
      <w:r w:rsidRPr="009106D3">
        <w:rPr>
          <w:rFonts w:ascii="Times New Roman" w:eastAsia="Calibri" w:hAnsi="Times New Roman" w:cs="Times New Roman"/>
          <w:sz w:val="24"/>
          <w:szCs w:val="24"/>
        </w:rPr>
        <w:t>, осуществляющих деятельность на территории Волгоградской области, и развитие цифровых механизмов взаимодействия общества и власти</w:t>
      </w:r>
      <w:r w:rsidRPr="009106D3">
        <w:rPr>
          <w:rFonts w:ascii="Times New Roman" w:hAnsi="Times New Roman" w:cs="Times New Roman"/>
          <w:sz w:val="24"/>
          <w:szCs w:val="24"/>
        </w:rPr>
        <w:t xml:space="preserve">» </w:t>
      </w:r>
      <w:r w:rsidR="00453E75" w:rsidRPr="009106D3">
        <w:rPr>
          <w:rFonts w:ascii="Times New Roman" w:hAnsi="Times New Roman" w:cs="Times New Roman"/>
          <w:sz w:val="24"/>
          <w:szCs w:val="24"/>
        </w:rPr>
        <w:t xml:space="preserve">госпрограммы «Развитие гражданского общества на территории Волгоградской области» </w:t>
      </w:r>
      <w:r w:rsidRPr="009106D3">
        <w:rPr>
          <w:rFonts w:ascii="Times New Roman" w:hAnsi="Times New Roman" w:cs="Times New Roman"/>
          <w:sz w:val="24"/>
          <w:szCs w:val="24"/>
        </w:rPr>
        <w:t xml:space="preserve">процент перевыполнения </w:t>
      </w:r>
      <w:r w:rsidR="00746B58" w:rsidRPr="009106D3">
        <w:rPr>
          <w:rFonts w:ascii="Times New Roman" w:hAnsi="Times New Roman" w:cs="Times New Roman"/>
          <w:sz w:val="24"/>
          <w:szCs w:val="24"/>
        </w:rPr>
        <w:t xml:space="preserve">целевых показателей </w:t>
      </w:r>
      <w:r w:rsidRPr="009106D3">
        <w:rPr>
          <w:rFonts w:ascii="Times New Roman" w:hAnsi="Times New Roman" w:cs="Times New Roman"/>
          <w:sz w:val="24"/>
          <w:szCs w:val="24"/>
        </w:rPr>
        <w:t xml:space="preserve">колеблется </w:t>
      </w:r>
      <w:r w:rsidR="00AE7C7A" w:rsidRPr="009106D3">
        <w:rPr>
          <w:rFonts w:ascii="Times New Roman" w:hAnsi="Times New Roman" w:cs="Times New Roman"/>
          <w:sz w:val="24"/>
          <w:szCs w:val="24"/>
        </w:rPr>
        <w:t>от 25,5 % до 1200 %, что свидетельствует о</w:t>
      </w:r>
      <w:r w:rsidR="00746B58" w:rsidRPr="009106D3">
        <w:rPr>
          <w:rFonts w:ascii="Times New Roman" w:hAnsi="Times New Roman" w:cs="Times New Roman"/>
          <w:sz w:val="24"/>
          <w:szCs w:val="24"/>
        </w:rPr>
        <w:t>б</w:t>
      </w:r>
      <w:r w:rsidR="00AE7C7A" w:rsidRPr="009106D3">
        <w:rPr>
          <w:rFonts w:ascii="Times New Roman" w:hAnsi="Times New Roman" w:cs="Times New Roman"/>
          <w:sz w:val="24"/>
          <w:szCs w:val="24"/>
        </w:rPr>
        <w:t xml:space="preserve"> </w:t>
      </w:r>
      <w:r w:rsidR="00746B58" w:rsidRPr="009106D3">
        <w:rPr>
          <w:rFonts w:ascii="Times New Roman" w:hAnsi="Times New Roman" w:cs="Times New Roman"/>
          <w:sz w:val="24"/>
          <w:szCs w:val="24"/>
        </w:rPr>
        <w:t xml:space="preserve">их </w:t>
      </w:r>
      <w:r w:rsidR="00AE7C7A" w:rsidRPr="009106D3">
        <w:rPr>
          <w:rFonts w:ascii="Times New Roman" w:hAnsi="Times New Roman" w:cs="Times New Roman"/>
          <w:sz w:val="24"/>
          <w:szCs w:val="24"/>
        </w:rPr>
        <w:t xml:space="preserve">некорректном планировании </w:t>
      </w:r>
      <w:r w:rsidR="00746B58" w:rsidRPr="009106D3">
        <w:rPr>
          <w:rFonts w:ascii="Times New Roman" w:hAnsi="Times New Roman" w:cs="Times New Roman"/>
          <w:sz w:val="24"/>
          <w:szCs w:val="24"/>
        </w:rPr>
        <w:t xml:space="preserve">и </w:t>
      </w:r>
      <w:r w:rsidR="00746B58" w:rsidRPr="009106D3">
        <w:rPr>
          <w:rFonts w:ascii="Times New Roman" w:hAnsi="Times New Roman" w:cs="Times New Roman"/>
          <w:spacing w:val="-6"/>
          <w:sz w:val="24"/>
          <w:szCs w:val="24"/>
        </w:rPr>
        <w:t xml:space="preserve">отсутствии </w:t>
      </w:r>
      <w:proofErr w:type="spellStart"/>
      <w:r w:rsidR="00746B58" w:rsidRPr="009106D3">
        <w:rPr>
          <w:rFonts w:ascii="Times New Roman" w:hAnsi="Times New Roman" w:cs="Times New Roman"/>
          <w:spacing w:val="-6"/>
          <w:sz w:val="24"/>
          <w:szCs w:val="24"/>
        </w:rPr>
        <w:t>взаимоувязки</w:t>
      </w:r>
      <w:proofErr w:type="spellEnd"/>
      <w:r w:rsidR="00746B58" w:rsidRPr="009106D3">
        <w:rPr>
          <w:rFonts w:ascii="Times New Roman" w:hAnsi="Times New Roman" w:cs="Times New Roman"/>
          <w:spacing w:val="-6"/>
          <w:sz w:val="24"/>
          <w:szCs w:val="24"/>
        </w:rPr>
        <w:t xml:space="preserve"> с фи</w:t>
      </w:r>
      <w:r w:rsidR="00453E75" w:rsidRPr="009106D3">
        <w:rPr>
          <w:rFonts w:ascii="Times New Roman" w:hAnsi="Times New Roman" w:cs="Times New Roman"/>
          <w:spacing w:val="-6"/>
          <w:sz w:val="24"/>
          <w:szCs w:val="24"/>
        </w:rPr>
        <w:t>нансовым обеспечением программы и</w:t>
      </w:r>
      <w:r w:rsidR="00746B58" w:rsidRPr="009106D3">
        <w:rPr>
          <w:rFonts w:ascii="Times New Roman" w:hAnsi="Times New Roman" w:cs="Times New Roman"/>
          <w:spacing w:val="-6"/>
          <w:sz w:val="24"/>
          <w:szCs w:val="24"/>
        </w:rPr>
        <w:t xml:space="preserve"> противоречит п. 2.5 Порядк</w:t>
      </w:r>
      <w:r w:rsidR="00453E75" w:rsidRPr="009106D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746B58" w:rsidRPr="009106D3">
        <w:rPr>
          <w:rFonts w:ascii="Times New Roman" w:hAnsi="Times New Roman" w:cs="Times New Roman"/>
          <w:spacing w:val="-6"/>
          <w:sz w:val="24"/>
          <w:szCs w:val="24"/>
        </w:rPr>
        <w:t xml:space="preserve"> №</w:t>
      </w:r>
      <w:r w:rsidR="003F7440" w:rsidRPr="009106D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46B58" w:rsidRPr="009106D3">
        <w:rPr>
          <w:rFonts w:ascii="Times New Roman" w:hAnsi="Times New Roman" w:cs="Times New Roman"/>
          <w:spacing w:val="-6"/>
          <w:sz w:val="24"/>
          <w:szCs w:val="24"/>
        </w:rPr>
        <w:t>423-п.</w:t>
      </w:r>
      <w:proofErr w:type="gramEnd"/>
    </w:p>
    <w:p w:rsidR="00746B58" w:rsidRPr="009106D3" w:rsidRDefault="00746B58" w:rsidP="00F50BE2">
      <w:pPr>
        <w:pStyle w:val="ac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2"/>
        <w:rPr>
          <w:rFonts w:ascii="Times New Roman" w:hAnsi="Times New Roman" w:cs="Times New Roman"/>
          <w:spacing w:val="-6"/>
          <w:sz w:val="24"/>
          <w:szCs w:val="24"/>
        </w:rPr>
      </w:pPr>
      <w:r w:rsidRPr="009106D3">
        <w:rPr>
          <w:rFonts w:ascii="Times New Roman" w:hAnsi="Times New Roman" w:cs="Times New Roman"/>
          <w:spacing w:val="-6"/>
          <w:sz w:val="24"/>
          <w:szCs w:val="24"/>
        </w:rPr>
        <w:t>В нарушение п.1.3 Постановления №89-п Комитетом при смене регионального канала не внесены изменения в целевой показатель, характеризующий объем расходования средств (эфирное время) при освещении деятельности политических партий.</w:t>
      </w:r>
    </w:p>
    <w:p w:rsidR="009106D3" w:rsidRDefault="009106D3" w:rsidP="00F50BE2">
      <w:pPr>
        <w:ind w:firstLine="709"/>
        <w:jc w:val="center"/>
        <w:rPr>
          <w:b/>
        </w:rPr>
      </w:pPr>
    </w:p>
    <w:p w:rsidR="00381314" w:rsidRPr="009106D3" w:rsidRDefault="00381314" w:rsidP="00F50BE2">
      <w:pPr>
        <w:ind w:firstLine="709"/>
        <w:jc w:val="center"/>
        <w:rPr>
          <w:b/>
        </w:rPr>
      </w:pPr>
      <w:r w:rsidRPr="009106D3">
        <w:rPr>
          <w:b/>
        </w:rPr>
        <w:t>Предложения</w:t>
      </w:r>
    </w:p>
    <w:p w:rsidR="00B87CCD" w:rsidRPr="009106D3" w:rsidRDefault="00B87CCD" w:rsidP="00F50BE2">
      <w:pPr>
        <w:ind w:firstLine="425"/>
        <w:jc w:val="both"/>
      </w:pPr>
      <w:r w:rsidRPr="009106D3">
        <w:rPr>
          <w:b/>
        </w:rPr>
        <w:t>1.</w:t>
      </w:r>
      <w:r w:rsidRPr="009106D3">
        <w:t xml:space="preserve"> </w:t>
      </w:r>
      <w:r w:rsidR="00381314" w:rsidRPr="009106D3">
        <w:t xml:space="preserve">Усилить </w:t>
      </w:r>
      <w:proofErr w:type="gramStart"/>
      <w:r w:rsidR="00381314" w:rsidRPr="009106D3">
        <w:t xml:space="preserve">контроль </w:t>
      </w:r>
      <w:r w:rsidR="00453E75" w:rsidRPr="009106D3">
        <w:t>за</w:t>
      </w:r>
      <w:proofErr w:type="gramEnd"/>
      <w:r w:rsidR="00381314" w:rsidRPr="009106D3">
        <w:t xml:space="preserve"> оформлением отчетных форм бюджетной отчетности</w:t>
      </w:r>
      <w:r w:rsidR="00453E75" w:rsidRPr="009106D3">
        <w:t>,</w:t>
      </w:r>
      <w:r w:rsidR="00381314" w:rsidRPr="009106D3">
        <w:t xml:space="preserve">  производить их заполнение в соответствии с Инструкцией 191н</w:t>
      </w:r>
      <w:r w:rsidR="00453E75" w:rsidRPr="009106D3">
        <w:t>.</w:t>
      </w:r>
      <w:r w:rsidR="00381314" w:rsidRPr="009106D3">
        <w:t xml:space="preserve"> </w:t>
      </w:r>
    </w:p>
    <w:p w:rsidR="00381314" w:rsidRPr="009106D3" w:rsidRDefault="00B87CCD" w:rsidP="00F50BE2">
      <w:pPr>
        <w:ind w:firstLine="425"/>
        <w:jc w:val="both"/>
      </w:pPr>
      <w:r w:rsidRPr="009106D3">
        <w:rPr>
          <w:b/>
        </w:rPr>
        <w:t>2.</w:t>
      </w:r>
      <w:r w:rsidRPr="009106D3">
        <w:t xml:space="preserve"> </w:t>
      </w:r>
      <w:r w:rsidR="00381314" w:rsidRPr="009106D3">
        <w:t>Проанализировать дебиторскую задолженность Комитета, сложившуюся по состоянию на 01.01.2020 в объеме 135128,7 тыс. руб., в том числе уделить особое внимание просроче</w:t>
      </w:r>
      <w:r w:rsidR="00453E75" w:rsidRPr="009106D3">
        <w:t>нной дебиторской задолженности (</w:t>
      </w:r>
      <w:r w:rsidR="00381314" w:rsidRPr="009106D3">
        <w:t>36010,9 тыс. руб.</w:t>
      </w:r>
      <w:r w:rsidR="00453E75" w:rsidRPr="009106D3">
        <w:t>)</w:t>
      </w:r>
      <w:r w:rsidR="00381314" w:rsidRPr="009106D3">
        <w:t xml:space="preserve">, возникшей в результате предоставления грантов средствам массовой информации, субсидий </w:t>
      </w:r>
      <w:r w:rsidR="0035374B" w:rsidRPr="009106D3">
        <w:t>СО НКО</w:t>
      </w:r>
      <w:r w:rsidR="00381314" w:rsidRPr="009106D3">
        <w:t>, а также расчетов по доходам от прочих сумм принудительного взыскания</w:t>
      </w:r>
      <w:r w:rsidRPr="009106D3">
        <w:t>.</w:t>
      </w:r>
    </w:p>
    <w:p w:rsidR="00272426" w:rsidRPr="009106D3" w:rsidRDefault="00B87CCD" w:rsidP="00F50BE2">
      <w:pPr>
        <w:ind w:firstLine="425"/>
        <w:jc w:val="both"/>
      </w:pPr>
      <w:r w:rsidRPr="009106D3">
        <w:rPr>
          <w:b/>
        </w:rPr>
        <w:t>3.</w:t>
      </w:r>
      <w:r w:rsidRPr="009106D3">
        <w:t xml:space="preserve"> </w:t>
      </w:r>
      <w:r w:rsidR="00272426" w:rsidRPr="009106D3">
        <w:t xml:space="preserve">Принять меры </w:t>
      </w:r>
      <w:r w:rsidR="00381314" w:rsidRPr="009106D3">
        <w:t>по приему о</w:t>
      </w:r>
      <w:r w:rsidR="0035374B" w:rsidRPr="009106D3">
        <w:t>тчетов по использованию грантов</w:t>
      </w:r>
      <w:r w:rsidR="00272426" w:rsidRPr="009106D3">
        <w:t xml:space="preserve"> </w:t>
      </w:r>
      <w:r w:rsidR="0035374B" w:rsidRPr="009106D3">
        <w:t xml:space="preserve">средствами массовой информации, субсидий СО НКО и </w:t>
      </w:r>
      <w:r w:rsidR="00272426" w:rsidRPr="009106D3">
        <w:t xml:space="preserve">уменьшению дебиторской задолженности </w:t>
      </w:r>
      <w:r w:rsidR="00381314" w:rsidRPr="009106D3">
        <w:t xml:space="preserve">до истечения сроков исковой давности. </w:t>
      </w:r>
      <w:r w:rsidR="00272426" w:rsidRPr="009106D3">
        <w:t xml:space="preserve">При установлении несоблюдения условий </w:t>
      </w:r>
      <w:r w:rsidR="0035374B" w:rsidRPr="009106D3">
        <w:t xml:space="preserve">их </w:t>
      </w:r>
      <w:r w:rsidR="00272426" w:rsidRPr="009106D3">
        <w:t>получения взыскать задолженность в досудебном (судебном) порядке в соответствии с законодательством РФ.</w:t>
      </w:r>
    </w:p>
    <w:p w:rsidR="00B52FC6" w:rsidRPr="009106D3" w:rsidRDefault="008A61E3" w:rsidP="00F50BE2">
      <w:pPr>
        <w:ind w:firstLine="425"/>
        <w:jc w:val="both"/>
      </w:pPr>
      <w:r w:rsidRPr="009106D3">
        <w:rPr>
          <w:b/>
        </w:rPr>
        <w:t>4.</w:t>
      </w:r>
      <w:r w:rsidRPr="009106D3">
        <w:t xml:space="preserve"> Провести работу по списанию кредиторской задолженности </w:t>
      </w:r>
      <w:r w:rsidR="00B52FC6" w:rsidRPr="009106D3">
        <w:t>перед ГБУ ВО "РИАЦ" в связи с отсутствием у учреждения принятых денежных обязательств.</w:t>
      </w:r>
    </w:p>
    <w:p w:rsidR="00AE7C7A" w:rsidRPr="009106D3" w:rsidRDefault="00B52FC6" w:rsidP="00F50BE2">
      <w:pPr>
        <w:ind w:firstLine="425"/>
        <w:jc w:val="both"/>
        <w:rPr>
          <w:spacing w:val="-6"/>
        </w:rPr>
      </w:pPr>
      <w:r w:rsidRPr="009106D3">
        <w:rPr>
          <w:b/>
        </w:rPr>
        <w:t>5</w:t>
      </w:r>
      <w:r w:rsidR="00B87CCD" w:rsidRPr="009106D3">
        <w:rPr>
          <w:b/>
        </w:rPr>
        <w:t>.</w:t>
      </w:r>
      <w:r w:rsidR="00B87CCD" w:rsidRPr="009106D3">
        <w:t xml:space="preserve"> </w:t>
      </w:r>
      <w:proofErr w:type="gramStart"/>
      <w:r w:rsidR="0035374B" w:rsidRPr="009106D3">
        <w:t xml:space="preserve">Подготовить изменения в </w:t>
      </w:r>
      <w:r w:rsidR="0035374B" w:rsidRPr="009106D3">
        <w:rPr>
          <w:rFonts w:eastAsia="Calibri"/>
        </w:rPr>
        <w:t>подпрограмму «Государственная поддержка СО НКО, осуществляющих деятельность на территории Волгоградской области, и развитие цифровых механизмов взаимодействия общества и власти»</w:t>
      </w:r>
      <w:r w:rsidR="00453E75" w:rsidRPr="009106D3">
        <w:rPr>
          <w:rFonts w:eastAsia="Calibri"/>
        </w:rPr>
        <w:t xml:space="preserve"> </w:t>
      </w:r>
      <w:r w:rsidR="00453E75" w:rsidRPr="009106D3">
        <w:t>госпрограммы «Развитие гражданского общества на территории Волгоградской области»</w:t>
      </w:r>
      <w:r w:rsidR="0035374B" w:rsidRPr="009106D3">
        <w:rPr>
          <w:rFonts w:eastAsia="Calibri"/>
        </w:rPr>
        <w:t xml:space="preserve"> в части уточнения </w:t>
      </w:r>
      <w:r w:rsidR="0035374B" w:rsidRPr="009106D3">
        <w:rPr>
          <w:spacing w:val="-6"/>
        </w:rPr>
        <w:t xml:space="preserve">целевых показателей на основании </w:t>
      </w:r>
      <w:r w:rsidR="00AE7C7A" w:rsidRPr="009106D3">
        <w:rPr>
          <w:spacing w:val="-6"/>
        </w:rPr>
        <w:t>объективн</w:t>
      </w:r>
      <w:r w:rsidR="0035374B" w:rsidRPr="009106D3">
        <w:rPr>
          <w:spacing w:val="-6"/>
        </w:rPr>
        <w:t>ого</w:t>
      </w:r>
      <w:r w:rsidR="00AE7C7A" w:rsidRPr="009106D3">
        <w:rPr>
          <w:spacing w:val="-6"/>
        </w:rPr>
        <w:t xml:space="preserve"> расчет</w:t>
      </w:r>
      <w:r w:rsidR="0035374B" w:rsidRPr="009106D3">
        <w:rPr>
          <w:spacing w:val="-6"/>
        </w:rPr>
        <w:t>а</w:t>
      </w:r>
      <w:r w:rsidR="00AE7C7A" w:rsidRPr="009106D3">
        <w:rPr>
          <w:spacing w:val="-6"/>
        </w:rPr>
        <w:t xml:space="preserve"> финансового обеспечения </w:t>
      </w:r>
      <w:r w:rsidR="0035374B" w:rsidRPr="009106D3">
        <w:rPr>
          <w:spacing w:val="-6"/>
        </w:rPr>
        <w:t>ее мероприятий</w:t>
      </w:r>
      <w:r w:rsidR="00746B58" w:rsidRPr="009106D3">
        <w:rPr>
          <w:spacing w:val="-6"/>
        </w:rPr>
        <w:t xml:space="preserve"> и в ВЦП </w:t>
      </w:r>
      <w:r w:rsidR="00D75979" w:rsidRPr="009106D3">
        <w:rPr>
          <w:spacing w:val="-6"/>
        </w:rPr>
        <w:t xml:space="preserve">«Реализация государственной информационной политики» </w:t>
      </w:r>
      <w:r w:rsidR="00746B58" w:rsidRPr="009106D3">
        <w:rPr>
          <w:spacing w:val="-6"/>
        </w:rPr>
        <w:t>в части уточнения</w:t>
      </w:r>
      <w:r w:rsidR="00D75979" w:rsidRPr="009106D3">
        <w:rPr>
          <w:spacing w:val="-6"/>
        </w:rPr>
        <w:t xml:space="preserve"> целевого показателя</w:t>
      </w:r>
      <w:r w:rsidR="00746B58" w:rsidRPr="009106D3">
        <w:rPr>
          <w:spacing w:val="-6"/>
        </w:rPr>
        <w:t xml:space="preserve"> </w:t>
      </w:r>
      <w:r w:rsidR="00D75979" w:rsidRPr="009106D3">
        <w:rPr>
          <w:spacing w:val="-6"/>
        </w:rPr>
        <w:t>(эфирное время) при освещении деятельности</w:t>
      </w:r>
      <w:proofErr w:type="gramEnd"/>
      <w:r w:rsidR="00D75979" w:rsidRPr="009106D3">
        <w:rPr>
          <w:spacing w:val="-6"/>
        </w:rPr>
        <w:t xml:space="preserve"> политических партий Волгоградской области.</w:t>
      </w:r>
    </w:p>
    <w:p w:rsidR="004B2E1D" w:rsidRPr="00D676B8" w:rsidRDefault="00B52FC6" w:rsidP="00F50BE2">
      <w:pPr>
        <w:autoSpaceDE w:val="0"/>
        <w:autoSpaceDN w:val="0"/>
        <w:adjustRightInd w:val="0"/>
        <w:ind w:firstLine="425"/>
        <w:jc w:val="both"/>
        <w:rPr>
          <w:color w:val="000000"/>
          <w:spacing w:val="-2"/>
        </w:rPr>
      </w:pPr>
      <w:r w:rsidRPr="009106D3">
        <w:rPr>
          <w:b/>
          <w:spacing w:val="-6"/>
        </w:rPr>
        <w:t>6</w:t>
      </w:r>
      <w:r w:rsidR="0085041D" w:rsidRPr="009106D3">
        <w:rPr>
          <w:b/>
          <w:spacing w:val="-6"/>
        </w:rPr>
        <w:t xml:space="preserve">. </w:t>
      </w:r>
      <w:r w:rsidR="0085041D" w:rsidRPr="009106D3">
        <w:rPr>
          <w:spacing w:val="-6"/>
        </w:rPr>
        <w:t>Рассмотреть вопрос о при</w:t>
      </w:r>
      <w:r w:rsidR="004B2E1D" w:rsidRPr="009106D3">
        <w:rPr>
          <w:spacing w:val="-6"/>
        </w:rPr>
        <w:t xml:space="preserve">влечении к ответственности </w:t>
      </w:r>
      <w:r w:rsidR="00B600F2" w:rsidRPr="009106D3">
        <w:rPr>
          <w:color w:val="000000"/>
          <w:spacing w:val="-2"/>
        </w:rPr>
        <w:t>лиц, виновных</w:t>
      </w:r>
      <w:r w:rsidR="004B2E1D" w:rsidRPr="009106D3">
        <w:rPr>
          <w:color w:val="000000"/>
          <w:spacing w:val="-2"/>
        </w:rPr>
        <w:t xml:space="preserve"> в допущенных нарушениях </w:t>
      </w:r>
      <w:r w:rsidR="00FA51DC" w:rsidRPr="009106D3">
        <w:rPr>
          <w:color w:val="000000"/>
          <w:spacing w:val="-2"/>
        </w:rPr>
        <w:t>Порядка 449-п</w:t>
      </w:r>
      <w:r w:rsidR="005F28C0" w:rsidRPr="009106D3">
        <w:rPr>
          <w:color w:val="000000"/>
          <w:spacing w:val="-2"/>
        </w:rPr>
        <w:t xml:space="preserve"> и Порядка 106-п</w:t>
      </w:r>
      <w:r w:rsidR="003D08D6" w:rsidRPr="009106D3">
        <w:rPr>
          <w:color w:val="000000"/>
          <w:spacing w:val="-2"/>
        </w:rPr>
        <w:t xml:space="preserve"> при выделении грантов </w:t>
      </w:r>
      <w:r w:rsidR="005F28C0" w:rsidRPr="009106D3">
        <w:rPr>
          <w:color w:val="000000"/>
          <w:spacing w:val="-2"/>
        </w:rPr>
        <w:t xml:space="preserve">и субсидий </w:t>
      </w:r>
      <w:r w:rsidR="003D08D6" w:rsidRPr="009106D3">
        <w:rPr>
          <w:color w:val="000000"/>
          <w:spacing w:val="-2"/>
        </w:rPr>
        <w:t>при наличии просроченной дебиторской задолженности и приеме отчетов об их использовании</w:t>
      </w:r>
      <w:r w:rsidR="007314D2" w:rsidRPr="009106D3">
        <w:rPr>
          <w:color w:val="000000"/>
          <w:spacing w:val="-2"/>
        </w:rPr>
        <w:t>.</w:t>
      </w:r>
    </w:p>
    <w:p w:rsidR="00381314" w:rsidRPr="00D676B8" w:rsidRDefault="00381314" w:rsidP="00F50BE2">
      <w:pPr>
        <w:tabs>
          <w:tab w:val="left" w:pos="709"/>
        </w:tabs>
        <w:rPr>
          <w:b/>
        </w:rPr>
      </w:pPr>
    </w:p>
    <w:p w:rsidR="00E11838" w:rsidRDefault="00E11838" w:rsidP="00F50BE2">
      <w:pPr>
        <w:autoSpaceDE w:val="0"/>
        <w:autoSpaceDN w:val="0"/>
        <w:adjustRightInd w:val="0"/>
        <w:ind w:firstLine="426"/>
        <w:jc w:val="both"/>
        <w:rPr>
          <w:b/>
          <w:noProof/>
        </w:rPr>
      </w:pPr>
    </w:p>
    <w:p w:rsidR="00381314" w:rsidRPr="008A61E3" w:rsidRDefault="00381314" w:rsidP="00F50BE2">
      <w:pPr>
        <w:autoSpaceDE w:val="0"/>
        <w:autoSpaceDN w:val="0"/>
        <w:adjustRightInd w:val="0"/>
        <w:ind w:firstLine="426"/>
        <w:jc w:val="both"/>
        <w:rPr>
          <w:noProof/>
        </w:rPr>
      </w:pPr>
      <w:r w:rsidRPr="00D676B8">
        <w:rPr>
          <w:b/>
          <w:noProof/>
        </w:rPr>
        <w:t>Аудитор</w:t>
      </w:r>
      <w:r w:rsidRPr="008A61E3">
        <w:rPr>
          <w:b/>
          <w:noProof/>
        </w:rPr>
        <w:t xml:space="preserve"> </w:t>
      </w:r>
      <w:r w:rsidR="00CD657B" w:rsidRPr="008A61E3">
        <w:rPr>
          <w:b/>
          <w:noProof/>
        </w:rPr>
        <w:t xml:space="preserve">             </w:t>
      </w:r>
      <w:r w:rsidRPr="008A61E3">
        <w:rPr>
          <w:b/>
          <w:noProof/>
        </w:rPr>
        <w:t xml:space="preserve">                                                                                   </w:t>
      </w:r>
      <w:r w:rsidR="002572A0">
        <w:rPr>
          <w:b/>
          <w:noProof/>
        </w:rPr>
        <w:t xml:space="preserve">       </w:t>
      </w:r>
      <w:r w:rsidRPr="008A61E3">
        <w:rPr>
          <w:b/>
          <w:noProof/>
        </w:rPr>
        <w:t xml:space="preserve">   М.Е. Татаринцев</w:t>
      </w:r>
    </w:p>
    <w:sectPr w:rsidR="00381314" w:rsidRPr="008A61E3" w:rsidSect="00033BB5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6B8" w:rsidRDefault="00D676B8" w:rsidP="004D4499">
      <w:r>
        <w:separator/>
      </w:r>
    </w:p>
  </w:endnote>
  <w:endnote w:type="continuationSeparator" w:id="1">
    <w:p w:rsidR="00D676B8" w:rsidRDefault="00D676B8" w:rsidP="004D4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6B8" w:rsidRDefault="00D676B8" w:rsidP="004D4499">
      <w:r>
        <w:separator/>
      </w:r>
    </w:p>
  </w:footnote>
  <w:footnote w:type="continuationSeparator" w:id="1">
    <w:p w:rsidR="00D676B8" w:rsidRDefault="00D676B8" w:rsidP="004D4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451"/>
    </w:sdtPr>
    <w:sdtContent>
      <w:p w:rsidR="00D676B8" w:rsidRDefault="00FE2217">
        <w:pPr>
          <w:pStyle w:val="a8"/>
          <w:jc w:val="center"/>
        </w:pPr>
        <w:fldSimple w:instr=" PAGE   \* MERGEFORMAT ">
          <w:r w:rsidR="009C3CC9">
            <w:rPr>
              <w:noProof/>
            </w:rPr>
            <w:t>9</w:t>
          </w:r>
        </w:fldSimple>
      </w:p>
    </w:sdtContent>
  </w:sdt>
  <w:p w:rsidR="00D676B8" w:rsidRDefault="00D676B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FA7"/>
    <w:multiLevelType w:val="hybridMultilevel"/>
    <w:tmpl w:val="09CE684A"/>
    <w:lvl w:ilvl="0" w:tplc="6C10117E">
      <w:start w:val="1"/>
      <w:numFmt w:val="decimal"/>
      <w:lvlText w:val="%1."/>
      <w:lvlJc w:val="left"/>
      <w:pPr>
        <w:ind w:left="1684" w:hanging="97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9549BA"/>
    <w:multiLevelType w:val="hybridMultilevel"/>
    <w:tmpl w:val="4AFC2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C23DD9"/>
    <w:multiLevelType w:val="hybridMultilevel"/>
    <w:tmpl w:val="D18A46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9748EF"/>
    <w:multiLevelType w:val="hybridMultilevel"/>
    <w:tmpl w:val="C43A699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327B4788"/>
    <w:multiLevelType w:val="hybridMultilevel"/>
    <w:tmpl w:val="DD42CD0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8084C91"/>
    <w:multiLevelType w:val="hybridMultilevel"/>
    <w:tmpl w:val="3C3AFB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651FD7"/>
    <w:multiLevelType w:val="hybridMultilevel"/>
    <w:tmpl w:val="614E59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726BC8"/>
    <w:multiLevelType w:val="hybridMultilevel"/>
    <w:tmpl w:val="09CE684A"/>
    <w:lvl w:ilvl="0" w:tplc="6C10117E">
      <w:start w:val="1"/>
      <w:numFmt w:val="decimal"/>
      <w:lvlText w:val="%1."/>
      <w:lvlJc w:val="left"/>
      <w:pPr>
        <w:ind w:left="1684" w:hanging="97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BB495F"/>
    <w:multiLevelType w:val="hybridMultilevel"/>
    <w:tmpl w:val="EEEC76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2FE"/>
    <w:rsid w:val="00001B37"/>
    <w:rsid w:val="0000564E"/>
    <w:rsid w:val="00025A3E"/>
    <w:rsid w:val="00033BB5"/>
    <w:rsid w:val="000431F2"/>
    <w:rsid w:val="00052A07"/>
    <w:rsid w:val="00053453"/>
    <w:rsid w:val="0005697C"/>
    <w:rsid w:val="00061774"/>
    <w:rsid w:val="000626A0"/>
    <w:rsid w:val="00074400"/>
    <w:rsid w:val="00075FB3"/>
    <w:rsid w:val="00076C0F"/>
    <w:rsid w:val="0009040F"/>
    <w:rsid w:val="00095E34"/>
    <w:rsid w:val="000A0E19"/>
    <w:rsid w:val="000A3870"/>
    <w:rsid w:val="000A7096"/>
    <w:rsid w:val="000C3570"/>
    <w:rsid w:val="000D0187"/>
    <w:rsid w:val="000D42F6"/>
    <w:rsid w:val="000E42FE"/>
    <w:rsid w:val="000E5ADF"/>
    <w:rsid w:val="000E672D"/>
    <w:rsid w:val="000E6F4D"/>
    <w:rsid w:val="00152A02"/>
    <w:rsid w:val="00153D89"/>
    <w:rsid w:val="00154B12"/>
    <w:rsid w:val="00186C61"/>
    <w:rsid w:val="00191CB6"/>
    <w:rsid w:val="001944AC"/>
    <w:rsid w:val="001A134D"/>
    <w:rsid w:val="001B2B1C"/>
    <w:rsid w:val="001B3A5E"/>
    <w:rsid w:val="001C048F"/>
    <w:rsid w:val="001D1A80"/>
    <w:rsid w:val="001D5372"/>
    <w:rsid w:val="001D5B34"/>
    <w:rsid w:val="001E640F"/>
    <w:rsid w:val="001F429E"/>
    <w:rsid w:val="00226135"/>
    <w:rsid w:val="00233714"/>
    <w:rsid w:val="00235E9F"/>
    <w:rsid w:val="00240A22"/>
    <w:rsid w:val="002410A5"/>
    <w:rsid w:val="002540AC"/>
    <w:rsid w:val="00256867"/>
    <w:rsid w:val="002572A0"/>
    <w:rsid w:val="00264E9C"/>
    <w:rsid w:val="00265393"/>
    <w:rsid w:val="00265C6D"/>
    <w:rsid w:val="00272426"/>
    <w:rsid w:val="00276646"/>
    <w:rsid w:val="00282BF6"/>
    <w:rsid w:val="00287BA7"/>
    <w:rsid w:val="002A7E18"/>
    <w:rsid w:val="002B0B09"/>
    <w:rsid w:val="002B2E9D"/>
    <w:rsid w:val="002B4BBF"/>
    <w:rsid w:val="002B62DE"/>
    <w:rsid w:val="002B7BE0"/>
    <w:rsid w:val="002D0B8A"/>
    <w:rsid w:val="002D1909"/>
    <w:rsid w:val="002E52FC"/>
    <w:rsid w:val="002E6D23"/>
    <w:rsid w:val="002F25A1"/>
    <w:rsid w:val="00300F97"/>
    <w:rsid w:val="003064A9"/>
    <w:rsid w:val="00307E3F"/>
    <w:rsid w:val="00311D22"/>
    <w:rsid w:val="00314B88"/>
    <w:rsid w:val="00315053"/>
    <w:rsid w:val="00316052"/>
    <w:rsid w:val="00317629"/>
    <w:rsid w:val="00333EF3"/>
    <w:rsid w:val="0033648F"/>
    <w:rsid w:val="00344B6A"/>
    <w:rsid w:val="0035374B"/>
    <w:rsid w:val="003659F3"/>
    <w:rsid w:val="00381314"/>
    <w:rsid w:val="003835D5"/>
    <w:rsid w:val="00385F3B"/>
    <w:rsid w:val="00397702"/>
    <w:rsid w:val="003A0108"/>
    <w:rsid w:val="003B69B0"/>
    <w:rsid w:val="003D08D6"/>
    <w:rsid w:val="003D1CB4"/>
    <w:rsid w:val="003D2150"/>
    <w:rsid w:val="003D2F0A"/>
    <w:rsid w:val="003E32D3"/>
    <w:rsid w:val="003F0BDE"/>
    <w:rsid w:val="003F4C3C"/>
    <w:rsid w:val="003F7440"/>
    <w:rsid w:val="004066E9"/>
    <w:rsid w:val="00422178"/>
    <w:rsid w:val="004259A1"/>
    <w:rsid w:val="00431C07"/>
    <w:rsid w:val="0043217B"/>
    <w:rsid w:val="0043575B"/>
    <w:rsid w:val="00440DC1"/>
    <w:rsid w:val="00453E75"/>
    <w:rsid w:val="00471305"/>
    <w:rsid w:val="00476E02"/>
    <w:rsid w:val="004839BB"/>
    <w:rsid w:val="004B2E1D"/>
    <w:rsid w:val="004C216A"/>
    <w:rsid w:val="004D233F"/>
    <w:rsid w:val="004D4499"/>
    <w:rsid w:val="004D7BDB"/>
    <w:rsid w:val="004F29C8"/>
    <w:rsid w:val="005044AA"/>
    <w:rsid w:val="005128E6"/>
    <w:rsid w:val="00513BC2"/>
    <w:rsid w:val="00513CB4"/>
    <w:rsid w:val="00522766"/>
    <w:rsid w:val="00525E69"/>
    <w:rsid w:val="005310FD"/>
    <w:rsid w:val="00534268"/>
    <w:rsid w:val="00537193"/>
    <w:rsid w:val="00554B1B"/>
    <w:rsid w:val="00556440"/>
    <w:rsid w:val="0057733C"/>
    <w:rsid w:val="00592D61"/>
    <w:rsid w:val="00594B4C"/>
    <w:rsid w:val="0059551E"/>
    <w:rsid w:val="005B109B"/>
    <w:rsid w:val="005C0E75"/>
    <w:rsid w:val="005C2233"/>
    <w:rsid w:val="005F28C0"/>
    <w:rsid w:val="005F3963"/>
    <w:rsid w:val="005F65BB"/>
    <w:rsid w:val="00613850"/>
    <w:rsid w:val="0062377E"/>
    <w:rsid w:val="006259E5"/>
    <w:rsid w:val="00645ED3"/>
    <w:rsid w:val="006639A5"/>
    <w:rsid w:val="006642BE"/>
    <w:rsid w:val="006664DC"/>
    <w:rsid w:val="0067580B"/>
    <w:rsid w:val="00680769"/>
    <w:rsid w:val="006911B7"/>
    <w:rsid w:val="006929B6"/>
    <w:rsid w:val="00694227"/>
    <w:rsid w:val="006A4CE5"/>
    <w:rsid w:val="006A5C95"/>
    <w:rsid w:val="006B034D"/>
    <w:rsid w:val="006C2D23"/>
    <w:rsid w:val="006D7D06"/>
    <w:rsid w:val="0070261A"/>
    <w:rsid w:val="00712052"/>
    <w:rsid w:val="0071476B"/>
    <w:rsid w:val="007314D2"/>
    <w:rsid w:val="00734FDF"/>
    <w:rsid w:val="00742818"/>
    <w:rsid w:val="00746B58"/>
    <w:rsid w:val="0077527E"/>
    <w:rsid w:val="00783964"/>
    <w:rsid w:val="00784EE2"/>
    <w:rsid w:val="00796FAA"/>
    <w:rsid w:val="007A30C5"/>
    <w:rsid w:val="007A55CA"/>
    <w:rsid w:val="007A78D6"/>
    <w:rsid w:val="007C3653"/>
    <w:rsid w:val="007E71BD"/>
    <w:rsid w:val="007F365D"/>
    <w:rsid w:val="007F4668"/>
    <w:rsid w:val="007F4C18"/>
    <w:rsid w:val="008017FE"/>
    <w:rsid w:val="0081295D"/>
    <w:rsid w:val="00814156"/>
    <w:rsid w:val="00816460"/>
    <w:rsid w:val="008312D2"/>
    <w:rsid w:val="00844F3B"/>
    <w:rsid w:val="0085041D"/>
    <w:rsid w:val="0085752B"/>
    <w:rsid w:val="00862C0E"/>
    <w:rsid w:val="00863F7E"/>
    <w:rsid w:val="0086637F"/>
    <w:rsid w:val="00872BC3"/>
    <w:rsid w:val="008840E1"/>
    <w:rsid w:val="008A61E3"/>
    <w:rsid w:val="008B612A"/>
    <w:rsid w:val="008D284C"/>
    <w:rsid w:val="008D6374"/>
    <w:rsid w:val="008E17C7"/>
    <w:rsid w:val="008F16AC"/>
    <w:rsid w:val="008F1D11"/>
    <w:rsid w:val="008F232F"/>
    <w:rsid w:val="00902341"/>
    <w:rsid w:val="009106D3"/>
    <w:rsid w:val="00912F5B"/>
    <w:rsid w:val="00926788"/>
    <w:rsid w:val="00943A33"/>
    <w:rsid w:val="00945B73"/>
    <w:rsid w:val="00951CD8"/>
    <w:rsid w:val="00952665"/>
    <w:rsid w:val="009554A7"/>
    <w:rsid w:val="009571DE"/>
    <w:rsid w:val="00961D0F"/>
    <w:rsid w:val="00963896"/>
    <w:rsid w:val="00981428"/>
    <w:rsid w:val="00981522"/>
    <w:rsid w:val="00981DFC"/>
    <w:rsid w:val="00982A02"/>
    <w:rsid w:val="009924E1"/>
    <w:rsid w:val="009A6775"/>
    <w:rsid w:val="009B03C7"/>
    <w:rsid w:val="009B21CF"/>
    <w:rsid w:val="009C0881"/>
    <w:rsid w:val="009C2871"/>
    <w:rsid w:val="009C3CC9"/>
    <w:rsid w:val="009E34FE"/>
    <w:rsid w:val="009E4B0A"/>
    <w:rsid w:val="00A26B06"/>
    <w:rsid w:val="00A43FC9"/>
    <w:rsid w:val="00A66375"/>
    <w:rsid w:val="00A71682"/>
    <w:rsid w:val="00AA4C76"/>
    <w:rsid w:val="00AC5618"/>
    <w:rsid w:val="00AC62AF"/>
    <w:rsid w:val="00AD07F5"/>
    <w:rsid w:val="00AD3F85"/>
    <w:rsid w:val="00AE7C7A"/>
    <w:rsid w:val="00AF2D2F"/>
    <w:rsid w:val="00AF4214"/>
    <w:rsid w:val="00B02EB7"/>
    <w:rsid w:val="00B52FC6"/>
    <w:rsid w:val="00B600F2"/>
    <w:rsid w:val="00B81CB5"/>
    <w:rsid w:val="00B8243D"/>
    <w:rsid w:val="00B87CCD"/>
    <w:rsid w:val="00B94A31"/>
    <w:rsid w:val="00BA2571"/>
    <w:rsid w:val="00BA283F"/>
    <w:rsid w:val="00BB26ED"/>
    <w:rsid w:val="00BD4F85"/>
    <w:rsid w:val="00BD4FE8"/>
    <w:rsid w:val="00BD6219"/>
    <w:rsid w:val="00BE3A18"/>
    <w:rsid w:val="00BE3C03"/>
    <w:rsid w:val="00C105F3"/>
    <w:rsid w:val="00C16779"/>
    <w:rsid w:val="00C22306"/>
    <w:rsid w:val="00C22D1D"/>
    <w:rsid w:val="00C24F6F"/>
    <w:rsid w:val="00C26EB7"/>
    <w:rsid w:val="00C276C1"/>
    <w:rsid w:val="00C412BA"/>
    <w:rsid w:val="00C41BC1"/>
    <w:rsid w:val="00C43752"/>
    <w:rsid w:val="00C44FC0"/>
    <w:rsid w:val="00C755B7"/>
    <w:rsid w:val="00C83012"/>
    <w:rsid w:val="00C848F1"/>
    <w:rsid w:val="00C95870"/>
    <w:rsid w:val="00CB32E4"/>
    <w:rsid w:val="00CC112A"/>
    <w:rsid w:val="00CC640F"/>
    <w:rsid w:val="00CD0E3B"/>
    <w:rsid w:val="00CD657B"/>
    <w:rsid w:val="00CE252D"/>
    <w:rsid w:val="00CE7580"/>
    <w:rsid w:val="00D15CE5"/>
    <w:rsid w:val="00D16D11"/>
    <w:rsid w:val="00D223E4"/>
    <w:rsid w:val="00D51B2F"/>
    <w:rsid w:val="00D55C1A"/>
    <w:rsid w:val="00D676B8"/>
    <w:rsid w:val="00D7265E"/>
    <w:rsid w:val="00D75979"/>
    <w:rsid w:val="00D965E0"/>
    <w:rsid w:val="00DA2D7E"/>
    <w:rsid w:val="00DB4821"/>
    <w:rsid w:val="00DB6CDF"/>
    <w:rsid w:val="00DB75E2"/>
    <w:rsid w:val="00DC7D2D"/>
    <w:rsid w:val="00DD4FF4"/>
    <w:rsid w:val="00DE0FA1"/>
    <w:rsid w:val="00E02A48"/>
    <w:rsid w:val="00E106C6"/>
    <w:rsid w:val="00E11838"/>
    <w:rsid w:val="00E12B54"/>
    <w:rsid w:val="00E1435E"/>
    <w:rsid w:val="00E24A8E"/>
    <w:rsid w:val="00E24D30"/>
    <w:rsid w:val="00E43CC4"/>
    <w:rsid w:val="00E5182E"/>
    <w:rsid w:val="00E536A8"/>
    <w:rsid w:val="00E632B8"/>
    <w:rsid w:val="00E740B0"/>
    <w:rsid w:val="00E7505C"/>
    <w:rsid w:val="00E75A4E"/>
    <w:rsid w:val="00E83990"/>
    <w:rsid w:val="00E844E3"/>
    <w:rsid w:val="00E87C56"/>
    <w:rsid w:val="00E927D2"/>
    <w:rsid w:val="00E94843"/>
    <w:rsid w:val="00EB2D7A"/>
    <w:rsid w:val="00EC2A31"/>
    <w:rsid w:val="00EC728A"/>
    <w:rsid w:val="00ED5048"/>
    <w:rsid w:val="00F16327"/>
    <w:rsid w:val="00F177E6"/>
    <w:rsid w:val="00F2298D"/>
    <w:rsid w:val="00F25C43"/>
    <w:rsid w:val="00F3077B"/>
    <w:rsid w:val="00F3318C"/>
    <w:rsid w:val="00F36117"/>
    <w:rsid w:val="00F4028C"/>
    <w:rsid w:val="00F501F3"/>
    <w:rsid w:val="00F505A6"/>
    <w:rsid w:val="00F50BE2"/>
    <w:rsid w:val="00F5533B"/>
    <w:rsid w:val="00F776FE"/>
    <w:rsid w:val="00F778BE"/>
    <w:rsid w:val="00F825BB"/>
    <w:rsid w:val="00F8560D"/>
    <w:rsid w:val="00F92AD9"/>
    <w:rsid w:val="00F95E69"/>
    <w:rsid w:val="00F97764"/>
    <w:rsid w:val="00F97EF8"/>
    <w:rsid w:val="00FA51DC"/>
    <w:rsid w:val="00FB0EE9"/>
    <w:rsid w:val="00FB2192"/>
    <w:rsid w:val="00FB73B4"/>
    <w:rsid w:val="00FC7E10"/>
    <w:rsid w:val="00FD1405"/>
    <w:rsid w:val="00FD18A2"/>
    <w:rsid w:val="00FE2217"/>
    <w:rsid w:val="00FF1F4E"/>
    <w:rsid w:val="00FF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71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E42FE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0E42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0E4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531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191CB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91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51">
    <w:name w:val="iceouttxt51"/>
    <w:basedOn w:val="a0"/>
    <w:rsid w:val="00191CB6"/>
    <w:rPr>
      <w:rFonts w:ascii="Arial" w:hAnsi="Arial" w:cs="Arial" w:hint="default"/>
      <w:color w:val="666666"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9571D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D44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4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D44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4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5342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31605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60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15CE5"/>
    <w:pPr>
      <w:widowControl w:val="0"/>
      <w:overflowPunct w:val="0"/>
      <w:autoSpaceDE w:val="0"/>
      <w:autoSpaceDN w:val="0"/>
      <w:adjustRightInd w:val="0"/>
      <w:ind w:firstLine="1122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7831CC3150DC1765BE1CBB227F57989FA4D3FFE2A148FD580F75FBEA3399284FL6r3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7F533-DDA1-45B0-9C25-9C1E23F2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9</Pages>
  <Words>4732</Words>
  <Characters>26979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Гончарук</dc:creator>
  <cp:lastModifiedBy>Гончарук</cp:lastModifiedBy>
  <cp:revision>63</cp:revision>
  <cp:lastPrinted>2020-03-11T10:51:00Z</cp:lastPrinted>
  <dcterms:created xsi:type="dcterms:W3CDTF">2020-03-10T12:34:00Z</dcterms:created>
  <dcterms:modified xsi:type="dcterms:W3CDTF">2020-03-23T05:13:00Z</dcterms:modified>
</cp:coreProperties>
</file>