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14" w:rsidRPr="00602865" w:rsidRDefault="00B91414" w:rsidP="00B91414">
      <w:pPr>
        <w:tabs>
          <w:tab w:val="left" w:pos="180"/>
          <w:tab w:val="left" w:pos="360"/>
        </w:tabs>
        <w:ind w:left="5954"/>
        <w:rPr>
          <w:b/>
        </w:rPr>
      </w:pPr>
      <w:r>
        <w:rPr>
          <w:b/>
        </w:rPr>
        <w:t xml:space="preserve">                 </w:t>
      </w:r>
      <w:r w:rsidRPr="00602865">
        <w:rPr>
          <w:b/>
        </w:rPr>
        <w:t xml:space="preserve">УТВЕРЖДАЮ </w:t>
      </w:r>
    </w:p>
    <w:p w:rsidR="00B91414" w:rsidRPr="00602865" w:rsidRDefault="00B91414" w:rsidP="00B9141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 xml:space="preserve">председатель контрольно - </w:t>
      </w:r>
      <w:proofErr w:type="gramStart"/>
      <w:r w:rsidRPr="00602865">
        <w:t>счетной</w:t>
      </w:r>
      <w:proofErr w:type="gramEnd"/>
    </w:p>
    <w:p w:rsidR="00B91414" w:rsidRPr="00602865" w:rsidRDefault="00B91414" w:rsidP="00B9141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>палаты Волгоградской области</w:t>
      </w:r>
    </w:p>
    <w:p w:rsidR="00B91414" w:rsidRPr="00602865" w:rsidRDefault="00B91414" w:rsidP="00B9141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</w:t>
      </w:r>
    </w:p>
    <w:p w:rsidR="00B91414" w:rsidRPr="00602865" w:rsidRDefault="00B91414" w:rsidP="00B9141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>_________________ И.А. Дьяченко</w:t>
      </w:r>
    </w:p>
    <w:p w:rsidR="00B91414" w:rsidRPr="00602865" w:rsidRDefault="00B91414" w:rsidP="00B9141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___  апреля  2020</w:t>
      </w:r>
      <w:r w:rsidRPr="00602865">
        <w:t xml:space="preserve"> года </w:t>
      </w:r>
    </w:p>
    <w:p w:rsidR="00B91414" w:rsidRPr="00602865" w:rsidRDefault="00B91414" w:rsidP="00B91414">
      <w:pPr>
        <w:jc w:val="center"/>
        <w:rPr>
          <w:b/>
          <w:i/>
        </w:rPr>
      </w:pPr>
    </w:p>
    <w:p w:rsidR="00B91414" w:rsidRPr="00602865" w:rsidRDefault="00B91414" w:rsidP="00B91414">
      <w:pPr>
        <w:jc w:val="center"/>
        <w:rPr>
          <w:b/>
          <w:i/>
        </w:rPr>
      </w:pPr>
      <w:r w:rsidRPr="00602865">
        <w:rPr>
          <w:b/>
          <w:i/>
        </w:rPr>
        <w:t>ЗАКЛЮЧЕНИЕ</w:t>
      </w:r>
    </w:p>
    <w:p w:rsidR="00B91414" w:rsidRPr="00602865" w:rsidRDefault="00B91414" w:rsidP="00B91414">
      <w:pPr>
        <w:ind w:left="283"/>
        <w:jc w:val="center"/>
        <w:rPr>
          <w:b/>
          <w:i/>
        </w:rPr>
      </w:pPr>
      <w:r w:rsidRPr="00602865">
        <w:rPr>
          <w:b/>
          <w:i/>
          <w:color w:val="000000"/>
        </w:rPr>
        <w:t xml:space="preserve">по результатам </w:t>
      </w:r>
      <w:r w:rsidRPr="00602865">
        <w:rPr>
          <w:b/>
          <w:i/>
        </w:rPr>
        <w:t>внешней проверки бюджетной отчетности и</w:t>
      </w:r>
    </w:p>
    <w:p w:rsidR="00B91414" w:rsidRPr="00602865" w:rsidRDefault="00B91414" w:rsidP="00B91414">
      <w:pPr>
        <w:ind w:left="283"/>
        <w:jc w:val="center"/>
        <w:rPr>
          <w:b/>
          <w:i/>
        </w:rPr>
      </w:pPr>
      <w:r w:rsidRPr="00602865">
        <w:rPr>
          <w:b/>
          <w:i/>
        </w:rPr>
        <w:t>отдельных вопросов исполнения областного бюджета за 201</w:t>
      </w:r>
      <w:r>
        <w:rPr>
          <w:b/>
          <w:i/>
        </w:rPr>
        <w:t>9</w:t>
      </w:r>
      <w:r w:rsidRPr="00602865">
        <w:rPr>
          <w:b/>
          <w:i/>
        </w:rPr>
        <w:t xml:space="preserve"> год</w:t>
      </w:r>
    </w:p>
    <w:p w:rsidR="00B91414" w:rsidRPr="00602865" w:rsidRDefault="00B91414" w:rsidP="00B91414">
      <w:pPr>
        <w:ind w:left="283"/>
        <w:jc w:val="center"/>
        <w:rPr>
          <w:b/>
          <w:i/>
        </w:rPr>
      </w:pPr>
      <w:r w:rsidRPr="00602865">
        <w:rPr>
          <w:b/>
          <w:i/>
        </w:rPr>
        <w:t xml:space="preserve">главным администратором средств областного бюджета – </w:t>
      </w:r>
    </w:p>
    <w:p w:rsidR="00B91414" w:rsidRDefault="00B91414" w:rsidP="00B91414">
      <w:pPr>
        <w:ind w:left="283"/>
        <w:jc w:val="center"/>
        <w:rPr>
          <w:b/>
          <w:bCs/>
          <w:i/>
          <w:iCs/>
          <w:color w:val="000000"/>
        </w:rPr>
      </w:pPr>
      <w:r w:rsidRPr="00602865">
        <w:rPr>
          <w:b/>
          <w:i/>
        </w:rPr>
        <w:t xml:space="preserve">комитетом </w:t>
      </w:r>
      <w:r>
        <w:rPr>
          <w:b/>
          <w:bCs/>
          <w:i/>
          <w:iCs/>
          <w:color w:val="000000"/>
        </w:rPr>
        <w:t>транспорта и дорожного хозяйства</w:t>
      </w:r>
    </w:p>
    <w:p w:rsidR="00B91414" w:rsidRDefault="00B91414" w:rsidP="00B91414">
      <w:pPr>
        <w:ind w:left="283"/>
        <w:jc w:val="center"/>
        <w:rPr>
          <w:b/>
          <w:bCs/>
          <w:i/>
          <w:iCs/>
          <w:color w:val="000000"/>
        </w:rPr>
      </w:pPr>
      <w:r w:rsidRPr="005072BC">
        <w:rPr>
          <w:b/>
          <w:bCs/>
          <w:i/>
          <w:iCs/>
          <w:color w:val="000000"/>
        </w:rPr>
        <w:t>Волгоградской области</w:t>
      </w:r>
    </w:p>
    <w:p w:rsidR="00B91414" w:rsidRPr="005072BC" w:rsidRDefault="00B91414" w:rsidP="00B91414">
      <w:pPr>
        <w:ind w:left="283"/>
        <w:jc w:val="center"/>
        <w:rPr>
          <w:b/>
          <w:i/>
        </w:rPr>
      </w:pPr>
    </w:p>
    <w:p w:rsidR="00B91414" w:rsidRPr="00F32EF8" w:rsidRDefault="00B91414" w:rsidP="00B91414">
      <w:pPr>
        <w:ind w:firstLine="851"/>
        <w:jc w:val="both"/>
      </w:pPr>
      <w:proofErr w:type="gramStart"/>
      <w:r w:rsidRPr="00E319F2">
        <w:t>В соответствии с п.</w:t>
      </w:r>
      <w:r w:rsidR="00996418" w:rsidRPr="00E319F2">
        <w:t> </w:t>
      </w:r>
      <w:r w:rsidRPr="00E319F2">
        <w:t>3.1.2</w:t>
      </w:r>
      <w:r w:rsidR="00E319F2" w:rsidRPr="00E319F2">
        <w:t>1</w:t>
      </w:r>
      <w:r w:rsidRPr="00E319F2">
        <w:t xml:space="preserve"> Плана</w:t>
      </w:r>
      <w:r w:rsidRPr="00602865">
        <w:t xml:space="preserve"> работы контрольно-счетной палаты Волгоградской области, утвержденн</w:t>
      </w:r>
      <w:r>
        <w:t>ого</w:t>
      </w:r>
      <w:r w:rsidRPr="00602865">
        <w:t xml:space="preserve"> постановлением коллегии контрольно-счётной палаты Волгоградской области </w:t>
      </w:r>
      <w:r w:rsidRPr="00C31196">
        <w:t>от</w:t>
      </w:r>
      <w:r>
        <w:t xml:space="preserve"> 20</w:t>
      </w:r>
      <w:r w:rsidRPr="007E54B1">
        <w:t>.12.201</w:t>
      </w:r>
      <w:r>
        <w:t>9</w:t>
      </w:r>
      <w:r w:rsidRPr="007E54B1">
        <w:t xml:space="preserve"> № </w:t>
      </w:r>
      <w:r>
        <w:t>23</w:t>
      </w:r>
      <w:r w:rsidRPr="007E54B1">
        <w:t>/2</w:t>
      </w:r>
      <w:r w:rsidRPr="00602865">
        <w:t>, в целях подготовки заключения на годовой отчет об исполнении областного бюджета за 201</w:t>
      </w:r>
      <w:r>
        <w:t>9</w:t>
      </w:r>
      <w:r w:rsidRPr="00602865">
        <w:t xml:space="preserve"> год</w:t>
      </w:r>
      <w:r>
        <w:t xml:space="preserve"> </w:t>
      </w:r>
      <w:r w:rsidRPr="00602865">
        <w:t xml:space="preserve">проведена </w:t>
      </w:r>
      <w:r w:rsidRPr="00602865">
        <w:rPr>
          <w:color w:val="000000"/>
        </w:rPr>
        <w:t xml:space="preserve">внешняя </w:t>
      </w:r>
      <w:r w:rsidRPr="00602865">
        <w:t>проверка бюджетной отчетности и отдельных вопросов исполнения областного бюджета за 201</w:t>
      </w:r>
      <w:r>
        <w:t>9</w:t>
      </w:r>
      <w:r w:rsidRPr="00602865">
        <w:t xml:space="preserve"> год главным администратором средств областного бюджета –</w:t>
      </w:r>
      <w:r w:rsidRPr="005072BC">
        <w:rPr>
          <w:b/>
          <w:i/>
        </w:rPr>
        <w:t xml:space="preserve"> </w:t>
      </w:r>
      <w:r w:rsidRPr="005072BC">
        <w:t xml:space="preserve">комитетом </w:t>
      </w:r>
      <w:r>
        <w:rPr>
          <w:bCs/>
          <w:iCs/>
          <w:color w:val="000000"/>
        </w:rPr>
        <w:t>транспорта и дорожного хозяйства</w:t>
      </w:r>
      <w:proofErr w:type="gramEnd"/>
      <w:r w:rsidRPr="00F32EF8">
        <w:rPr>
          <w:bCs/>
          <w:iCs/>
        </w:rPr>
        <w:t xml:space="preserve"> Волгоградской области</w:t>
      </w:r>
      <w:r w:rsidRPr="00F32EF8">
        <w:rPr>
          <w:b/>
          <w:i/>
        </w:rPr>
        <w:t xml:space="preserve"> </w:t>
      </w:r>
      <w:r w:rsidRPr="00F32EF8">
        <w:t xml:space="preserve">(далее - </w:t>
      </w:r>
      <w:r>
        <w:t>Комитет</w:t>
      </w:r>
      <w:r w:rsidRPr="00F32EF8">
        <w:t>).</w:t>
      </w:r>
    </w:p>
    <w:p w:rsidR="00B91414" w:rsidRPr="00F32EF8" w:rsidRDefault="00B2059F" w:rsidP="00B91414">
      <w:pPr>
        <w:ind w:firstLine="709"/>
        <w:jc w:val="both"/>
      </w:pPr>
      <w:r>
        <w:t>Комитет</w:t>
      </w:r>
      <w:r w:rsidR="00B91414" w:rsidRPr="00F32EF8">
        <w:t xml:space="preserve"> является органом исполнительной власти Волгоградской области, </w:t>
      </w:r>
      <w:r w:rsidR="00B91414" w:rsidRPr="00F32EF8">
        <w:rPr>
          <w:rFonts w:eastAsiaTheme="minorHAnsi"/>
          <w:lang w:eastAsia="en-US"/>
        </w:rPr>
        <w:t xml:space="preserve">уполномоченным </w:t>
      </w:r>
      <w:r w:rsidR="00B91414" w:rsidRPr="002D289E">
        <w:t xml:space="preserve">в сфере транспорта, организации регулярных перевозок пассажиров и багажа автомобильным транспортом по межмуниципальным маршрутам регулярных перевозок в Волгоградской области и осуществления единой государственной политики развития сети автомобильных дорог общего пользования регионального или межмуниципального </w:t>
      </w:r>
      <w:r w:rsidR="00B91414" w:rsidRPr="001C6C58">
        <w:t>значения, государственного</w:t>
      </w:r>
      <w:r w:rsidR="00B91414" w:rsidRPr="002D289E">
        <w:t xml:space="preserve"> управления автомобильными дорогами и сооружениями на них</w:t>
      </w:r>
      <w:r w:rsidR="00B91414" w:rsidRPr="00F32EF8">
        <w:rPr>
          <w:rFonts w:eastAsiaTheme="minorHAnsi"/>
          <w:lang w:eastAsia="en-US"/>
        </w:rPr>
        <w:t>.</w:t>
      </w:r>
      <w:r w:rsidR="00B91414" w:rsidRPr="00F32EF8">
        <w:t xml:space="preserve"> </w:t>
      </w:r>
    </w:p>
    <w:p w:rsidR="00B91414" w:rsidRDefault="00B91414" w:rsidP="00B91414">
      <w:pPr>
        <w:ind w:firstLine="680"/>
        <w:jc w:val="both"/>
      </w:pPr>
      <w:r w:rsidRPr="00D47E35">
        <w:t xml:space="preserve">Законом Волгоградской области от 07.12.2018 № 134-ОД «Об областном бюджете на 2019 год и на плановый период 2020 и 2021 годов» (далее -  Закон об областном бюджете на 2019 год) </w:t>
      </w:r>
      <w:r>
        <w:t>Комитет</w:t>
      </w:r>
      <w:r w:rsidRPr="00D47E35">
        <w:t xml:space="preserve"> включен в перечень главных администраторов доходов областного бюджета и главных распорядителей средств областного бюджета. </w:t>
      </w:r>
    </w:p>
    <w:p w:rsidR="00B91414" w:rsidRPr="00F32EF8" w:rsidRDefault="00B91414" w:rsidP="00DC64DD">
      <w:pPr>
        <w:ind w:firstLine="709"/>
        <w:jc w:val="both"/>
      </w:pPr>
      <w:r>
        <w:t>В 2019 году</w:t>
      </w:r>
      <w:r w:rsidRPr="00F32EF8">
        <w:t xml:space="preserve"> штатная численность </w:t>
      </w:r>
      <w:r>
        <w:t>Комитета</w:t>
      </w:r>
      <w:r w:rsidRPr="00F32EF8">
        <w:t xml:space="preserve"> утверждена в количестве </w:t>
      </w:r>
      <w:r>
        <w:t>80</w:t>
      </w:r>
      <w:r w:rsidRPr="00F32EF8">
        <w:t xml:space="preserve"> единиц, в том числе </w:t>
      </w:r>
      <w:r>
        <w:t>78</w:t>
      </w:r>
      <w:r w:rsidRPr="00F32EF8">
        <w:t xml:space="preserve"> должностей государственной гражданской службы Волгоградской области</w:t>
      </w:r>
      <w:r w:rsidR="00CC4DA7">
        <w:t xml:space="preserve"> (далее - ГГС)</w:t>
      </w:r>
      <w:r w:rsidRPr="00F32EF8">
        <w:t>.</w:t>
      </w:r>
      <w:r w:rsidR="00CC4DA7" w:rsidRPr="00CC4DA7">
        <w:t xml:space="preserve"> </w:t>
      </w:r>
      <w:r w:rsidR="00CC4DA7" w:rsidRPr="002D0273">
        <w:t>На 31.12.2019 замещено 76 должностей, в том числе 74 должности ГГС</w:t>
      </w:r>
      <w:r w:rsidR="00CC4DA7">
        <w:t>.</w:t>
      </w:r>
    </w:p>
    <w:p w:rsidR="00B91414" w:rsidRPr="00D47E35" w:rsidRDefault="00B91414" w:rsidP="00DC64DD">
      <w:pPr>
        <w:ind w:firstLine="709"/>
        <w:jc w:val="both"/>
      </w:pPr>
      <w:r>
        <w:t xml:space="preserve">Комитет </w:t>
      </w:r>
      <w:r w:rsidRPr="00D47E35">
        <w:t>является учредителем двух государственных учреждений:</w:t>
      </w:r>
    </w:p>
    <w:p w:rsidR="00B91414" w:rsidRPr="00673AC1" w:rsidRDefault="00B91414" w:rsidP="00DC64DD">
      <w:pPr>
        <w:autoSpaceDE w:val="0"/>
        <w:autoSpaceDN w:val="0"/>
        <w:adjustRightInd w:val="0"/>
        <w:ind w:firstLine="709"/>
        <w:jc w:val="both"/>
      </w:pPr>
      <w:r>
        <w:t>-г</w:t>
      </w:r>
      <w:r w:rsidRPr="000A68B6">
        <w:t xml:space="preserve">осударственное </w:t>
      </w:r>
      <w:r>
        <w:t>казенное</w:t>
      </w:r>
      <w:r w:rsidRPr="000A68B6">
        <w:t xml:space="preserve"> учреждение Волгоградской области</w:t>
      </w:r>
      <w:r>
        <w:t xml:space="preserve"> «Дирекция автомобильных дорог» (далее – ГКУ «Дирекция») штатной </w:t>
      </w:r>
      <w:r w:rsidRPr="00DF36C8">
        <w:t xml:space="preserve">численностью </w:t>
      </w:r>
      <w:r>
        <w:t>90</w:t>
      </w:r>
      <w:r w:rsidRPr="00DF36C8">
        <w:t xml:space="preserve"> единиц</w:t>
      </w:r>
      <w:r w:rsidR="00A07918">
        <w:t>;</w:t>
      </w:r>
    </w:p>
    <w:p w:rsidR="00B91414" w:rsidRPr="00593182" w:rsidRDefault="00B91414" w:rsidP="00B91414">
      <w:pPr>
        <w:ind w:firstLine="709"/>
        <w:jc w:val="both"/>
      </w:pPr>
      <w:r w:rsidRPr="00673AC1">
        <w:t>-государственное бюджетное учреждение Волгоградской области «</w:t>
      </w:r>
      <w:proofErr w:type="spellStart"/>
      <w:r w:rsidRPr="00673AC1">
        <w:t>Волгоградавтодор</w:t>
      </w:r>
      <w:proofErr w:type="spellEnd"/>
      <w:r w:rsidRPr="00673AC1">
        <w:t>» (далее – ГБУ «</w:t>
      </w:r>
      <w:proofErr w:type="spellStart"/>
      <w:r w:rsidRPr="00673AC1">
        <w:t>Волгоградавтодор</w:t>
      </w:r>
      <w:proofErr w:type="spellEnd"/>
      <w:r w:rsidRPr="00673AC1">
        <w:t xml:space="preserve">») штатной </w:t>
      </w:r>
      <w:r w:rsidRPr="005D3DF4">
        <w:t xml:space="preserve">численностью </w:t>
      </w:r>
      <w:r w:rsidRPr="007C6B9D">
        <w:t>1554,1</w:t>
      </w:r>
      <w:r w:rsidRPr="005D3DF4">
        <w:t xml:space="preserve"> единицы</w:t>
      </w:r>
      <w:r w:rsidRPr="00673AC1">
        <w:t>.</w:t>
      </w:r>
    </w:p>
    <w:p w:rsidR="00B91414" w:rsidRPr="00D47E35" w:rsidRDefault="00B91414" w:rsidP="00B91414">
      <w:pPr>
        <w:spacing w:line="300" w:lineRule="exact"/>
        <w:ind w:firstLine="709"/>
        <w:jc w:val="both"/>
      </w:pPr>
    </w:p>
    <w:p w:rsidR="00B91414" w:rsidRDefault="00B91414" w:rsidP="00B91414">
      <w:pPr>
        <w:jc w:val="center"/>
        <w:rPr>
          <w:b/>
          <w:i/>
        </w:rPr>
      </w:pPr>
      <w:r w:rsidRPr="00A3123E">
        <w:rPr>
          <w:b/>
          <w:i/>
        </w:rPr>
        <w:t xml:space="preserve">Бюджетная </w:t>
      </w:r>
      <w:r>
        <w:rPr>
          <w:b/>
          <w:i/>
        </w:rPr>
        <w:t xml:space="preserve">(бухгалтерская) </w:t>
      </w:r>
      <w:r w:rsidRPr="00A3123E">
        <w:rPr>
          <w:b/>
          <w:i/>
        </w:rPr>
        <w:t xml:space="preserve">отчётность </w:t>
      </w:r>
    </w:p>
    <w:p w:rsidR="00B91414" w:rsidRPr="00397F57" w:rsidRDefault="00B91414" w:rsidP="00B91414">
      <w:pPr>
        <w:ind w:firstLine="709"/>
        <w:jc w:val="both"/>
      </w:pPr>
      <w:r w:rsidRPr="0032150E">
        <w:t xml:space="preserve">Сводная бюджетная </w:t>
      </w:r>
      <w:r w:rsidRPr="0032150E">
        <w:rPr>
          <w:bCs/>
        </w:rPr>
        <w:t xml:space="preserve">отчетность </w:t>
      </w:r>
      <w:r>
        <w:rPr>
          <w:bCs/>
        </w:rPr>
        <w:t>Комитета</w:t>
      </w:r>
      <w:r w:rsidRPr="0032150E">
        <w:rPr>
          <w:bCs/>
        </w:rPr>
        <w:t xml:space="preserve"> за 2019 год представлена к </w:t>
      </w:r>
      <w:r w:rsidRPr="0032150E">
        <w:t xml:space="preserve">проверке в составе, определенном ст. 264.1 БК РФ и Инструкцией о порядке составления и </w:t>
      </w:r>
      <w:r w:rsidRPr="00397F57">
        <w:t>представления годовой, квартальной и месячной отчетности об исполнении бюджетов бюджетной системы РФ, утвержденной приказом Минфина РФ от 28.12.2010 № 191н.</w:t>
      </w:r>
    </w:p>
    <w:p w:rsidR="00F90D5B" w:rsidRDefault="004462F5" w:rsidP="00396C80">
      <w:pPr>
        <w:ind w:firstLine="709"/>
        <w:jc w:val="both"/>
        <w:rPr>
          <w:rFonts w:eastAsiaTheme="minorHAnsi"/>
          <w:lang w:eastAsia="en-US"/>
        </w:rPr>
      </w:pPr>
      <w:r w:rsidRPr="00397F57">
        <w:t>Проверкой достоверности бюджетной отчетности установлены нарушения</w:t>
      </w:r>
      <w:r w:rsidRPr="00397F57">
        <w:rPr>
          <w:rFonts w:eastAsiaTheme="minorHAnsi"/>
          <w:lang w:eastAsia="en-US"/>
        </w:rPr>
        <w:t xml:space="preserve"> требований к</w:t>
      </w:r>
      <w:r w:rsidRPr="00655265">
        <w:rPr>
          <w:rFonts w:eastAsiaTheme="minorHAnsi"/>
          <w:lang w:eastAsia="en-US"/>
        </w:rPr>
        <w:t xml:space="preserve"> бюджетному учету</w:t>
      </w:r>
      <w:r w:rsidR="00F90D5B">
        <w:rPr>
          <w:rFonts w:eastAsiaTheme="minorHAnsi"/>
          <w:lang w:eastAsia="en-US"/>
        </w:rPr>
        <w:t>:</w:t>
      </w:r>
    </w:p>
    <w:p w:rsidR="004462F5" w:rsidRDefault="00F90D5B" w:rsidP="00ED489A">
      <w:pPr>
        <w:ind w:firstLine="709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1.</w:t>
      </w:r>
      <w:r w:rsidR="00612A0C">
        <w:rPr>
          <w:rFonts w:eastAsiaTheme="minorHAnsi"/>
          <w:lang w:eastAsia="en-US"/>
        </w:rPr>
        <w:tab/>
      </w:r>
      <w:proofErr w:type="gramStart"/>
      <w:r w:rsidR="004462F5" w:rsidRPr="00105DA9">
        <w:rPr>
          <w:rFonts w:eastAsia="Calibri"/>
          <w:lang w:eastAsia="en-US"/>
        </w:rPr>
        <w:t xml:space="preserve">В нарушение </w:t>
      </w:r>
      <w:r w:rsidR="004462F5" w:rsidRPr="00105DA9">
        <w:t xml:space="preserve">п. 11, 18.1-18.3 федерального стандарта бухгалтерского учета организаций государственного сектора «Аренда», утвержденного приказом Минфина России от 31.12.2016 № 258н (далее – Стандарт «Аренда»), Комитетом не произведена классификация и оценка объекта учёта </w:t>
      </w:r>
      <w:proofErr w:type="spellStart"/>
      <w:r w:rsidR="004462F5" w:rsidRPr="00105DA9">
        <w:t>неоперационной</w:t>
      </w:r>
      <w:proofErr w:type="spellEnd"/>
      <w:r w:rsidR="004462F5" w:rsidRPr="00105DA9">
        <w:t xml:space="preserve"> (финансовой) аренды 13 автобусов по государственному контракту от 26.03.2018 № 908755 в виде актива с одновременным признанием обязательств (кредиторской задолженности) в сумме дисконтированной </w:t>
      </w:r>
      <w:r w:rsidR="004462F5" w:rsidRPr="00105DA9">
        <w:lastRenderedPageBreak/>
        <w:t>стоимости арендных платежей в размере</w:t>
      </w:r>
      <w:proofErr w:type="gramEnd"/>
      <w:r w:rsidR="004462F5" w:rsidRPr="00105DA9">
        <w:t xml:space="preserve"> </w:t>
      </w:r>
      <w:r w:rsidR="00F93D9D" w:rsidRPr="00105DA9">
        <w:t>121 420</w:t>
      </w:r>
      <w:r w:rsidR="004462F5" w:rsidRPr="00105DA9">
        <w:t xml:space="preserve"> тыс. рублей.</w:t>
      </w:r>
      <w:r w:rsidR="001C5BFA">
        <w:t xml:space="preserve"> </w:t>
      </w:r>
      <w:proofErr w:type="gramStart"/>
      <w:r w:rsidR="001C5BFA">
        <w:rPr>
          <w:rFonts w:eastAsiaTheme="minorHAnsi"/>
          <w:lang w:eastAsia="en-US"/>
        </w:rPr>
        <w:t>Нарушение</w:t>
      </w:r>
      <w:r w:rsidR="001C5BFA" w:rsidRPr="00655265">
        <w:rPr>
          <w:rFonts w:eastAsiaTheme="minorHAnsi"/>
          <w:lang w:eastAsia="en-US"/>
        </w:rPr>
        <w:t xml:space="preserve"> повлекл</w:t>
      </w:r>
      <w:r w:rsidR="001C5BFA">
        <w:rPr>
          <w:rFonts w:eastAsiaTheme="minorHAnsi"/>
          <w:lang w:eastAsia="en-US"/>
        </w:rPr>
        <w:t>о</w:t>
      </w:r>
      <w:r w:rsidR="001C5BFA" w:rsidRPr="00655265">
        <w:rPr>
          <w:rFonts w:eastAsiaTheme="minorHAnsi"/>
          <w:lang w:eastAsia="en-US"/>
        </w:rPr>
        <w:t xml:space="preserve"> формирование и представление бюджетной отчетности</w:t>
      </w:r>
      <w:r w:rsidR="001C5BFA" w:rsidRPr="00996DB3">
        <w:rPr>
          <w:rFonts w:eastAsiaTheme="minorHAnsi"/>
          <w:lang w:eastAsia="en-US"/>
        </w:rPr>
        <w:t xml:space="preserve">, содержащей искаженные показатели, выраженные в денежном измерении, что привело к </w:t>
      </w:r>
      <w:r w:rsidR="001C5BFA" w:rsidRPr="00105DA9">
        <w:rPr>
          <w:rFonts w:eastAsiaTheme="minorHAnsi"/>
          <w:lang w:eastAsia="en-US"/>
        </w:rPr>
        <w:t xml:space="preserve">искажению информации об активах, обязательствах и финансовых результатах на 28 907,5 - </w:t>
      </w:r>
      <w:r w:rsidR="001C5BFA" w:rsidRPr="00105DA9">
        <w:rPr>
          <w:color w:val="000000"/>
        </w:rPr>
        <w:t>109 856,2</w:t>
      </w:r>
      <w:r w:rsidR="001C5BFA" w:rsidRPr="00105DA9">
        <w:rPr>
          <w:rFonts w:eastAsiaTheme="minorHAnsi"/>
          <w:lang w:eastAsia="en-US"/>
        </w:rPr>
        <w:t xml:space="preserve"> тыс. руб., или на </w:t>
      </w:r>
      <w:r w:rsidR="001C5BFA" w:rsidRPr="00105DA9">
        <w:t>0,1 – 64,3</w:t>
      </w:r>
      <w:r w:rsidR="001C5BFA">
        <w:rPr>
          <w:lang w:val="en-US"/>
        </w:rPr>
        <w:t> </w:t>
      </w:r>
      <w:r w:rsidR="001C5BFA" w:rsidRPr="001C5BFA">
        <w:t xml:space="preserve">% </w:t>
      </w:r>
      <w:r w:rsidR="004462F5" w:rsidRPr="00105DA9">
        <w:rPr>
          <w:rFonts w:eastAsia="Calibri"/>
          <w:lang w:eastAsia="en-US"/>
        </w:rPr>
        <w:t>в пяти формах бюджетной отчетности</w:t>
      </w:r>
      <w:r w:rsidR="001C5BFA" w:rsidRPr="001C5BFA">
        <w:rPr>
          <w:rFonts w:eastAsia="Calibri"/>
          <w:lang w:eastAsia="en-US"/>
        </w:rPr>
        <w:t xml:space="preserve"> </w:t>
      </w:r>
      <w:r w:rsidR="004462F5" w:rsidRPr="00105DA9">
        <w:t>(ф.0503130 «Баланс…», ф. 0503169 «Сведения по дебиторской и кредиторской задолженности», ф.0503121</w:t>
      </w:r>
      <w:r w:rsidR="004462F5" w:rsidRPr="003E1EAB">
        <w:t xml:space="preserve"> «Отчет о финансовых результатах деятельности», ф</w:t>
      </w:r>
      <w:proofErr w:type="gramEnd"/>
      <w:r w:rsidR="004462F5" w:rsidRPr="003E1EAB">
        <w:t xml:space="preserve">. </w:t>
      </w:r>
      <w:proofErr w:type="gramStart"/>
      <w:r w:rsidR="004462F5" w:rsidRPr="003E1EAB">
        <w:t>0503168 «Сведения о движении нефинансовых активов»</w:t>
      </w:r>
      <w:r w:rsidR="004462F5">
        <w:t>, ф.0503110 «Справка по заключению счетов…»</w:t>
      </w:r>
      <w:r w:rsidR="004462F5" w:rsidRPr="003E1EAB">
        <w:t>)</w:t>
      </w:r>
      <w:r w:rsidR="004462F5" w:rsidRPr="00996DB3">
        <w:rPr>
          <w:rFonts w:eastAsia="Calibri"/>
          <w:lang w:eastAsia="en-US"/>
        </w:rPr>
        <w:t>.</w:t>
      </w:r>
      <w:proofErr w:type="gramEnd"/>
    </w:p>
    <w:p w:rsidR="001F2C1B" w:rsidRPr="00105DA9" w:rsidRDefault="00F90D5B" w:rsidP="00ED489A">
      <w:pPr>
        <w:pStyle w:val="af5"/>
        <w:spacing w:before="0" w:beforeAutospacing="0" w:after="0" w:afterAutospacing="0"/>
        <w:ind w:firstLine="709"/>
        <w:jc w:val="both"/>
      </w:pPr>
      <w:r>
        <w:t>2.</w:t>
      </w:r>
      <w:r w:rsidR="00612A0C">
        <w:tab/>
      </w:r>
      <w:proofErr w:type="gramStart"/>
      <w:r w:rsidR="00221C20" w:rsidRPr="00105DA9">
        <w:t xml:space="preserve">В нарушение п. 3 раздела </w:t>
      </w:r>
      <w:r w:rsidR="00221C20" w:rsidRPr="00105DA9">
        <w:rPr>
          <w:lang w:val="en-US"/>
        </w:rPr>
        <w:t>III</w:t>
      </w:r>
      <w:r w:rsidR="00221C20" w:rsidRPr="00105DA9">
        <w:t xml:space="preserve">.2 Методических указаний по применению Стандарта «Аренда», направленных письмом Минфина России от 13.12.2017 № 02-07-07/83464, в </w:t>
      </w:r>
      <w:r w:rsidR="00105DA9" w:rsidRPr="00105DA9">
        <w:t>бюджетном</w:t>
      </w:r>
      <w:r w:rsidR="00221C20" w:rsidRPr="00105DA9">
        <w:t xml:space="preserve"> учете </w:t>
      </w:r>
      <w:r w:rsidR="00105DA9" w:rsidRPr="00105DA9">
        <w:t>Комит</w:t>
      </w:r>
      <w:r w:rsidR="00221C20" w:rsidRPr="00105DA9">
        <w:t xml:space="preserve">ета своевременно не отражены обязательства по </w:t>
      </w:r>
      <w:proofErr w:type="spellStart"/>
      <w:r w:rsidR="00221C20" w:rsidRPr="00105DA9">
        <w:t>неоперационной</w:t>
      </w:r>
      <w:proofErr w:type="spellEnd"/>
      <w:r w:rsidR="00221C20" w:rsidRPr="00105DA9">
        <w:t xml:space="preserve"> (финансовой) аренде</w:t>
      </w:r>
      <w:r w:rsidR="00ED489A">
        <w:t xml:space="preserve"> </w:t>
      </w:r>
      <w:r w:rsidR="00221C20" w:rsidRPr="00105DA9">
        <w:t>13 автобусов по государственному контракту от 26.03.2018 № 908755 бухгалтерскими записями на соответствующих счетах аналитического учета счета 0 500 00 000 «Санкционирование расходов».</w:t>
      </w:r>
      <w:proofErr w:type="gramEnd"/>
      <w:r w:rsidR="00ED489A">
        <w:t xml:space="preserve"> Нарушение </w:t>
      </w:r>
      <w:r w:rsidR="00ED489A" w:rsidRPr="00655265">
        <w:rPr>
          <w:rFonts w:eastAsiaTheme="minorHAnsi"/>
          <w:lang w:eastAsia="en-US"/>
        </w:rPr>
        <w:t>повлекл</w:t>
      </w:r>
      <w:r w:rsidR="00ED489A">
        <w:rPr>
          <w:rFonts w:eastAsiaTheme="minorHAnsi"/>
          <w:lang w:eastAsia="en-US"/>
        </w:rPr>
        <w:t>о</w:t>
      </w:r>
      <w:r w:rsidR="00ED489A" w:rsidRPr="00655265">
        <w:rPr>
          <w:rFonts w:eastAsiaTheme="minorHAnsi"/>
          <w:lang w:eastAsia="en-US"/>
        </w:rPr>
        <w:t xml:space="preserve"> формирование и представление </w:t>
      </w:r>
      <w:r w:rsidR="00FF5503" w:rsidRPr="00105DA9">
        <w:t>одной формы бюджетной отчётности (ф.0503128 «Отчёт о бюджетных обязательствах»)</w:t>
      </w:r>
      <w:r w:rsidR="00ED489A" w:rsidRPr="00996DB3">
        <w:rPr>
          <w:rFonts w:eastAsiaTheme="minorHAnsi"/>
          <w:lang w:eastAsia="en-US"/>
        </w:rPr>
        <w:t xml:space="preserve">, </w:t>
      </w:r>
      <w:r w:rsidR="00ED489A" w:rsidRPr="00105DA9">
        <w:rPr>
          <w:rFonts w:eastAsiaTheme="minorHAnsi"/>
          <w:lang w:eastAsia="en-US"/>
        </w:rPr>
        <w:t>содержащей искаженные показатели, выраженные в денежном измерении</w:t>
      </w:r>
      <w:r w:rsidR="00ED489A">
        <w:rPr>
          <w:rFonts w:eastAsiaTheme="minorHAnsi"/>
          <w:lang w:eastAsia="en-US"/>
        </w:rPr>
        <w:t xml:space="preserve"> </w:t>
      </w:r>
      <w:r w:rsidR="00ED489A" w:rsidRPr="00105DA9">
        <w:rPr>
          <w:rFonts w:eastAsiaTheme="minorHAnsi"/>
          <w:lang w:eastAsia="en-US"/>
        </w:rPr>
        <w:t xml:space="preserve">на </w:t>
      </w:r>
      <w:r w:rsidR="00ED489A" w:rsidRPr="00105DA9">
        <w:rPr>
          <w:color w:val="000000"/>
        </w:rPr>
        <w:t>40</w:t>
      </w:r>
      <w:r w:rsidR="00ED489A">
        <w:rPr>
          <w:color w:val="000000"/>
        </w:rPr>
        <w:t> </w:t>
      </w:r>
      <w:r w:rsidR="00ED489A" w:rsidRPr="00105DA9">
        <w:rPr>
          <w:color w:val="000000"/>
        </w:rPr>
        <w:t>473,3</w:t>
      </w:r>
      <w:r w:rsidR="00ED489A" w:rsidRPr="00105DA9">
        <w:rPr>
          <w:rFonts w:eastAsiaTheme="minorHAnsi"/>
          <w:lang w:eastAsia="en-US"/>
        </w:rPr>
        <w:t xml:space="preserve"> тыс. руб.</w:t>
      </w:r>
      <w:r w:rsidR="00ED489A">
        <w:rPr>
          <w:rFonts w:eastAsiaTheme="minorHAnsi"/>
          <w:lang w:eastAsia="en-US"/>
        </w:rPr>
        <w:t>,</w:t>
      </w:r>
      <w:r w:rsidR="00ED489A" w:rsidRPr="00ED489A">
        <w:t xml:space="preserve"> </w:t>
      </w:r>
      <w:r w:rsidR="00FF5503">
        <w:rPr>
          <w:rFonts w:eastAsiaTheme="minorHAnsi"/>
          <w:lang w:eastAsia="en-US"/>
        </w:rPr>
        <w:t>но</w:t>
      </w:r>
      <w:r w:rsidR="00ED489A" w:rsidRPr="00105DA9">
        <w:rPr>
          <w:rFonts w:eastAsiaTheme="minorHAnsi"/>
          <w:lang w:eastAsia="en-US"/>
        </w:rPr>
        <w:t xml:space="preserve"> не привело к </w:t>
      </w:r>
      <w:r w:rsidR="00ED489A">
        <w:rPr>
          <w:rFonts w:eastAsiaTheme="minorHAnsi"/>
          <w:lang w:eastAsia="en-US"/>
        </w:rPr>
        <w:t>искажению информации об активах,</w:t>
      </w:r>
      <w:r w:rsidR="00ED489A" w:rsidRPr="00105DA9">
        <w:rPr>
          <w:rFonts w:eastAsiaTheme="minorHAnsi"/>
          <w:lang w:eastAsia="en-US"/>
        </w:rPr>
        <w:t xml:space="preserve"> обязательствах</w:t>
      </w:r>
      <w:r w:rsidR="00ED489A">
        <w:rPr>
          <w:rFonts w:eastAsiaTheme="minorHAnsi"/>
          <w:lang w:eastAsia="en-US"/>
        </w:rPr>
        <w:t xml:space="preserve"> и финансовых результатах</w:t>
      </w:r>
      <w:r w:rsidR="00EA4536" w:rsidRPr="00105DA9">
        <w:t>.</w:t>
      </w:r>
    </w:p>
    <w:p w:rsidR="00612A0C" w:rsidRDefault="00F90D5B" w:rsidP="008810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05DA9">
        <w:t>3.</w:t>
      </w:r>
      <w:r w:rsidR="00612A0C">
        <w:tab/>
      </w:r>
      <w:proofErr w:type="gramStart"/>
      <w:r w:rsidR="00612A0C">
        <w:rPr>
          <w:rFonts w:eastAsiaTheme="minorHAnsi"/>
          <w:lang w:eastAsia="en-US"/>
        </w:rPr>
        <w:t>В нарушение п. 28 федерального стандарта бухгалтерского учета для организаций государственного сектора «Доходы», утверждённого приказом Минфина России от 27.02.2018 N 32н (далее – Стандарт «Доходы»), п. 301 Инструкции по применению Единого плана счетов…, утверждённой приказом Минфина России от 01.12.2010 № 157н (далее – Инструкция № 157н)</w:t>
      </w:r>
      <w:r w:rsidR="00FF5503">
        <w:rPr>
          <w:rFonts w:eastAsiaTheme="minorHAnsi"/>
          <w:lang w:eastAsia="en-US"/>
        </w:rPr>
        <w:t>,</w:t>
      </w:r>
      <w:r w:rsidR="00612A0C">
        <w:rPr>
          <w:rFonts w:eastAsiaTheme="minorHAnsi"/>
          <w:lang w:eastAsia="en-US"/>
        </w:rPr>
        <w:t xml:space="preserve"> в бюджетном учёте Комитета не признаны в полном объёме в размере </w:t>
      </w:r>
      <w:r w:rsidR="00612A0C" w:rsidRPr="000E4F60">
        <w:rPr>
          <w:rFonts w:eastAsiaTheme="minorHAnsi"/>
          <w:lang w:eastAsia="en-US"/>
        </w:rPr>
        <w:t>3 027</w:t>
      </w:r>
      <w:r w:rsidR="00612A0C">
        <w:rPr>
          <w:rFonts w:eastAsiaTheme="minorHAnsi"/>
          <w:lang w:eastAsia="en-US"/>
        </w:rPr>
        <w:t> </w:t>
      </w:r>
      <w:r w:rsidR="00612A0C" w:rsidRPr="000E4F60">
        <w:rPr>
          <w:rFonts w:eastAsiaTheme="minorHAnsi"/>
          <w:lang w:eastAsia="en-US"/>
        </w:rPr>
        <w:t>833</w:t>
      </w:r>
      <w:r w:rsidR="00612A0C">
        <w:rPr>
          <w:rFonts w:eastAsiaTheme="minorHAnsi"/>
          <w:lang w:eastAsia="en-US"/>
        </w:rPr>
        <w:t>,</w:t>
      </w:r>
      <w:r w:rsidR="00612A0C" w:rsidRPr="000E4F60">
        <w:rPr>
          <w:rFonts w:eastAsiaTheme="minorHAnsi"/>
          <w:lang w:eastAsia="en-US"/>
        </w:rPr>
        <w:t>5</w:t>
      </w:r>
      <w:r w:rsidR="00612A0C">
        <w:rPr>
          <w:rFonts w:eastAsiaTheme="minorHAnsi"/>
          <w:lang w:eastAsia="en-US"/>
        </w:rPr>
        <w:t xml:space="preserve"> тыс. руб. доходами будущих</w:t>
      </w:r>
      <w:proofErr w:type="gramEnd"/>
      <w:r w:rsidR="00612A0C">
        <w:rPr>
          <w:rFonts w:eastAsiaTheme="minorHAnsi"/>
          <w:lang w:eastAsia="en-US"/>
        </w:rPr>
        <w:t xml:space="preserve"> </w:t>
      </w:r>
      <w:proofErr w:type="gramStart"/>
      <w:r w:rsidR="00612A0C">
        <w:rPr>
          <w:rFonts w:eastAsiaTheme="minorHAnsi"/>
          <w:lang w:eastAsia="en-US"/>
        </w:rPr>
        <w:t xml:space="preserve">периодов доходы от межбюджетных трансфертов, предоставляемых с условиями при передаче активов, по факту возникновения права на их получение - доходы от </w:t>
      </w:r>
      <w:r w:rsidR="00612A0C" w:rsidRPr="000E4F60">
        <w:rPr>
          <w:rFonts w:eastAsiaTheme="minorHAnsi"/>
          <w:lang w:eastAsia="en-US"/>
        </w:rPr>
        <w:t xml:space="preserve">иного межбюджетного трансферта, имеющего целевое назначение в целях </w:t>
      </w:r>
      <w:proofErr w:type="spellStart"/>
      <w:r w:rsidR="00612A0C" w:rsidRPr="000E4F60">
        <w:rPr>
          <w:rFonts w:eastAsiaTheme="minorHAnsi"/>
          <w:lang w:eastAsia="en-US"/>
        </w:rPr>
        <w:t>софинансирования</w:t>
      </w:r>
      <w:proofErr w:type="spellEnd"/>
      <w:r w:rsidR="00612A0C" w:rsidRPr="000E4F60">
        <w:rPr>
          <w:rFonts w:eastAsiaTheme="minorHAnsi"/>
          <w:lang w:eastAsia="en-US"/>
        </w:rPr>
        <w:t xml:space="preserve"> расходных обязательств субъектов </w:t>
      </w:r>
      <w:r w:rsidR="00612A0C">
        <w:rPr>
          <w:rFonts w:eastAsiaTheme="minorHAnsi"/>
          <w:lang w:eastAsia="en-US"/>
        </w:rPr>
        <w:t>РФ</w:t>
      </w:r>
      <w:r w:rsidR="00612A0C" w:rsidRPr="000E4F60">
        <w:rPr>
          <w:rFonts w:eastAsiaTheme="minorHAnsi"/>
          <w:lang w:eastAsia="en-US"/>
        </w:rPr>
        <w:t>, возникающих при реализации мероприятий, направленных на достижение результатов региональных проектов, обеспечивающих</w:t>
      </w:r>
      <w:r w:rsidR="00612A0C">
        <w:rPr>
          <w:rFonts w:eastAsiaTheme="minorHAnsi"/>
          <w:lang w:eastAsia="en-US"/>
        </w:rPr>
        <w:t xml:space="preserve"> </w:t>
      </w:r>
      <w:r w:rsidR="00612A0C" w:rsidRPr="000E4F60">
        <w:rPr>
          <w:rFonts w:eastAsiaTheme="minorHAnsi"/>
          <w:lang w:eastAsia="en-US"/>
        </w:rPr>
        <w:t>достижение</w:t>
      </w:r>
      <w:r w:rsidR="00612A0C">
        <w:rPr>
          <w:rFonts w:eastAsiaTheme="minorHAnsi"/>
          <w:lang w:eastAsia="en-US"/>
        </w:rPr>
        <w:t xml:space="preserve"> </w:t>
      </w:r>
      <w:r w:rsidR="00612A0C" w:rsidRPr="000E4F60">
        <w:rPr>
          <w:rFonts w:eastAsiaTheme="minorHAnsi"/>
          <w:lang w:eastAsia="en-US"/>
        </w:rPr>
        <w:t>результатов</w:t>
      </w:r>
      <w:r w:rsidR="00612A0C">
        <w:rPr>
          <w:rFonts w:eastAsiaTheme="minorHAnsi"/>
          <w:lang w:eastAsia="en-US"/>
        </w:rPr>
        <w:t xml:space="preserve"> </w:t>
      </w:r>
      <w:r w:rsidR="00612A0C" w:rsidRPr="000E4F60">
        <w:rPr>
          <w:rFonts w:eastAsiaTheme="minorHAnsi"/>
          <w:lang w:eastAsia="en-US"/>
        </w:rPr>
        <w:t>федерального</w:t>
      </w:r>
      <w:r w:rsidR="00FF5503">
        <w:rPr>
          <w:rFonts w:eastAsiaTheme="minorHAnsi"/>
          <w:lang w:eastAsia="en-US"/>
        </w:rPr>
        <w:t xml:space="preserve"> </w:t>
      </w:r>
      <w:r w:rsidR="00612A0C" w:rsidRPr="000E4F60">
        <w:rPr>
          <w:rFonts w:eastAsiaTheme="minorHAnsi"/>
          <w:lang w:eastAsia="en-US"/>
        </w:rPr>
        <w:t>проекта</w:t>
      </w:r>
      <w:r w:rsidR="00612A0C">
        <w:rPr>
          <w:rFonts w:eastAsiaTheme="minorHAnsi"/>
          <w:lang w:eastAsia="en-US"/>
        </w:rPr>
        <w:t xml:space="preserve"> «Дорожная сеть»</w:t>
      </w:r>
      <w:r w:rsidR="00612A0C" w:rsidRPr="000E4F60">
        <w:rPr>
          <w:rFonts w:eastAsiaTheme="minorHAnsi"/>
          <w:lang w:eastAsia="en-US"/>
        </w:rPr>
        <w:t xml:space="preserve"> в рамках реализации национального проекта «Безопасные и качественные автомобильные дороги</w:t>
      </w:r>
      <w:proofErr w:type="gramEnd"/>
      <w:r w:rsidR="00612A0C" w:rsidRPr="000E4F60">
        <w:rPr>
          <w:rFonts w:eastAsiaTheme="minorHAnsi"/>
          <w:lang w:eastAsia="en-US"/>
        </w:rPr>
        <w:t>»</w:t>
      </w:r>
      <w:r w:rsidR="00612A0C">
        <w:rPr>
          <w:rFonts w:eastAsiaTheme="minorHAnsi"/>
          <w:lang w:eastAsia="en-US"/>
        </w:rPr>
        <w:t xml:space="preserve"> (далее – НП БКАД), по соглашению </w:t>
      </w:r>
      <w:r w:rsidR="00612A0C" w:rsidRPr="000E4F60">
        <w:rPr>
          <w:rFonts w:eastAsiaTheme="minorHAnsi"/>
          <w:lang w:eastAsia="en-US"/>
        </w:rPr>
        <w:t>от</w:t>
      </w:r>
      <w:r w:rsidR="00612A0C">
        <w:rPr>
          <w:rFonts w:eastAsiaTheme="minorHAnsi"/>
          <w:lang w:eastAsia="en-US"/>
        </w:rPr>
        <w:t xml:space="preserve"> </w:t>
      </w:r>
      <w:r w:rsidR="00612A0C" w:rsidRPr="000E4F60">
        <w:rPr>
          <w:rFonts w:eastAsiaTheme="minorHAnsi"/>
          <w:lang w:eastAsia="en-US"/>
        </w:rPr>
        <w:t>14.03.2019</w:t>
      </w:r>
      <w:r w:rsidR="00612A0C">
        <w:rPr>
          <w:rFonts w:eastAsiaTheme="minorHAnsi"/>
          <w:lang w:eastAsia="en-US"/>
        </w:rPr>
        <w:t xml:space="preserve"> </w:t>
      </w:r>
      <w:r w:rsidR="00612A0C" w:rsidRPr="000E4F60">
        <w:rPr>
          <w:rFonts w:eastAsiaTheme="minorHAnsi"/>
          <w:lang w:eastAsia="en-US"/>
        </w:rPr>
        <w:t>№108-17-2019-038</w:t>
      </w:r>
      <w:r w:rsidR="00612A0C">
        <w:rPr>
          <w:rFonts w:eastAsiaTheme="minorHAnsi"/>
          <w:lang w:eastAsia="en-US"/>
        </w:rPr>
        <w:t xml:space="preserve"> (в ред. от 23.12.2019) на общую сумму 6 283 833,5 тыс. рублей. По кредиту счета 40140 «Доходы будущих периодов» не отражена полная сумм</w:t>
      </w:r>
      <w:r w:rsidR="00A07918">
        <w:rPr>
          <w:rFonts w:eastAsiaTheme="minorHAnsi"/>
          <w:lang w:eastAsia="en-US"/>
        </w:rPr>
        <w:t>а</w:t>
      </w:r>
      <w:r w:rsidR="00612A0C">
        <w:rPr>
          <w:rFonts w:eastAsiaTheme="minorHAnsi"/>
          <w:lang w:eastAsia="en-US"/>
        </w:rPr>
        <w:t xml:space="preserve"> доходов, относящихся к 2019-2021 годам, а по дебету - сумм</w:t>
      </w:r>
      <w:r w:rsidR="00A07918">
        <w:rPr>
          <w:rFonts w:eastAsiaTheme="minorHAnsi"/>
          <w:lang w:eastAsia="en-US"/>
        </w:rPr>
        <w:t>а</w:t>
      </w:r>
      <w:r w:rsidR="00612A0C">
        <w:rPr>
          <w:rFonts w:eastAsiaTheme="minorHAnsi"/>
          <w:lang w:eastAsia="en-US"/>
        </w:rPr>
        <w:t xml:space="preserve"> доходов, зачисленных на соответствующие счета доходов 2019 года в </w:t>
      </w:r>
      <w:r w:rsidR="00A07918">
        <w:rPr>
          <w:rFonts w:eastAsiaTheme="minorHAnsi"/>
          <w:lang w:eastAsia="en-US"/>
        </w:rPr>
        <w:t>размере</w:t>
      </w:r>
      <w:r w:rsidR="00612A0C">
        <w:rPr>
          <w:rFonts w:eastAsiaTheme="minorHAnsi"/>
          <w:lang w:eastAsia="en-US"/>
        </w:rPr>
        <w:t xml:space="preserve"> </w:t>
      </w:r>
      <w:r w:rsidR="00612A0C" w:rsidRPr="000E4F60">
        <w:rPr>
          <w:rFonts w:eastAsiaTheme="minorHAnsi"/>
          <w:lang w:eastAsia="en-US"/>
        </w:rPr>
        <w:t>3 027</w:t>
      </w:r>
      <w:r w:rsidR="00612A0C">
        <w:rPr>
          <w:rFonts w:eastAsiaTheme="minorHAnsi"/>
          <w:lang w:eastAsia="en-US"/>
        </w:rPr>
        <w:t> </w:t>
      </w:r>
      <w:r w:rsidR="00612A0C" w:rsidRPr="000E4F60">
        <w:rPr>
          <w:rFonts w:eastAsiaTheme="minorHAnsi"/>
          <w:lang w:eastAsia="en-US"/>
        </w:rPr>
        <w:t>833</w:t>
      </w:r>
      <w:r w:rsidR="00612A0C">
        <w:rPr>
          <w:rFonts w:eastAsiaTheme="minorHAnsi"/>
          <w:lang w:eastAsia="en-US"/>
        </w:rPr>
        <w:t>,</w:t>
      </w:r>
      <w:r w:rsidR="00612A0C" w:rsidRPr="000E4F60">
        <w:rPr>
          <w:rFonts w:eastAsiaTheme="minorHAnsi"/>
          <w:lang w:eastAsia="en-US"/>
        </w:rPr>
        <w:t>5</w:t>
      </w:r>
      <w:r w:rsidR="00612A0C">
        <w:rPr>
          <w:rFonts w:eastAsiaTheme="minorHAnsi"/>
          <w:lang w:eastAsia="en-US"/>
        </w:rPr>
        <w:t xml:space="preserve"> тыс. рублей.</w:t>
      </w:r>
      <w:r w:rsidR="00612A0C" w:rsidRPr="00612A0C">
        <w:rPr>
          <w:rFonts w:eastAsiaTheme="minorHAnsi"/>
          <w:lang w:eastAsia="en-US"/>
        </w:rPr>
        <w:t xml:space="preserve"> </w:t>
      </w:r>
      <w:r w:rsidR="00612A0C">
        <w:rPr>
          <w:rFonts w:eastAsiaTheme="minorHAnsi"/>
          <w:lang w:eastAsia="en-US"/>
        </w:rPr>
        <w:t xml:space="preserve">Нарушение </w:t>
      </w:r>
      <w:r w:rsidR="00612A0C" w:rsidRPr="00105DA9">
        <w:rPr>
          <w:rFonts w:eastAsiaTheme="minorHAnsi"/>
          <w:lang w:eastAsia="en-US"/>
        </w:rPr>
        <w:t>не повлекл</w:t>
      </w:r>
      <w:r w:rsidR="00612A0C">
        <w:rPr>
          <w:rFonts w:eastAsiaTheme="minorHAnsi"/>
          <w:lang w:eastAsia="en-US"/>
        </w:rPr>
        <w:t>о</w:t>
      </w:r>
      <w:r w:rsidR="00612A0C" w:rsidRPr="00105DA9">
        <w:rPr>
          <w:rFonts w:eastAsiaTheme="minorHAnsi"/>
          <w:lang w:eastAsia="en-US"/>
        </w:rPr>
        <w:t xml:space="preserve"> формирование и представление бюджетной</w:t>
      </w:r>
      <w:r w:rsidR="00612A0C" w:rsidRPr="00655265">
        <w:rPr>
          <w:rFonts w:eastAsiaTheme="minorHAnsi"/>
          <w:lang w:eastAsia="en-US"/>
        </w:rPr>
        <w:t xml:space="preserve"> отчетности</w:t>
      </w:r>
      <w:r w:rsidR="00612A0C" w:rsidRPr="00996DB3">
        <w:rPr>
          <w:rFonts w:eastAsiaTheme="minorHAnsi"/>
          <w:lang w:eastAsia="en-US"/>
        </w:rPr>
        <w:t>, содержащей искаженные показатели</w:t>
      </w:r>
      <w:r w:rsidR="00612A0C">
        <w:rPr>
          <w:rFonts w:eastAsiaTheme="minorHAnsi"/>
          <w:lang w:eastAsia="en-US"/>
        </w:rPr>
        <w:t>.</w:t>
      </w:r>
    </w:p>
    <w:p w:rsidR="00972041" w:rsidRPr="00102063" w:rsidRDefault="00FF5503" w:rsidP="00972041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Бухгалтерская</w:t>
      </w:r>
      <w:r w:rsidR="00DA2595" w:rsidRPr="00102063">
        <w:rPr>
          <w:rFonts w:ascii="Times New Roman" w:hAnsi="Times New Roman"/>
          <w:b w:val="0"/>
          <w:color w:val="auto"/>
          <w:sz w:val="24"/>
          <w:szCs w:val="24"/>
        </w:rPr>
        <w:t xml:space="preserve"> о</w:t>
      </w:r>
      <w:r w:rsidR="00972041" w:rsidRPr="00102063">
        <w:rPr>
          <w:rFonts w:ascii="Times New Roman" w:hAnsi="Times New Roman"/>
          <w:b w:val="0"/>
          <w:color w:val="auto"/>
          <w:sz w:val="24"/>
          <w:szCs w:val="24"/>
        </w:rPr>
        <w:t xml:space="preserve">тчетность </w:t>
      </w:r>
      <w:r w:rsidR="00DA2595" w:rsidRPr="00102063">
        <w:rPr>
          <w:rFonts w:ascii="Times New Roman" w:hAnsi="Times New Roman"/>
          <w:b w:val="0"/>
          <w:color w:val="auto"/>
          <w:sz w:val="24"/>
          <w:szCs w:val="24"/>
        </w:rPr>
        <w:t>ГБУ «</w:t>
      </w:r>
      <w:proofErr w:type="spellStart"/>
      <w:r w:rsidR="00DA2595" w:rsidRPr="00102063">
        <w:rPr>
          <w:rFonts w:ascii="Times New Roman" w:hAnsi="Times New Roman"/>
          <w:b w:val="0"/>
          <w:color w:val="auto"/>
          <w:sz w:val="24"/>
          <w:szCs w:val="24"/>
        </w:rPr>
        <w:t>Волгоградавтодор</w:t>
      </w:r>
      <w:proofErr w:type="spellEnd"/>
      <w:r w:rsidR="00DA2595" w:rsidRPr="00102063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972041" w:rsidRPr="00102063">
        <w:rPr>
          <w:rFonts w:ascii="Times New Roman" w:hAnsi="Times New Roman"/>
          <w:b w:val="0"/>
          <w:color w:val="auto"/>
          <w:sz w:val="24"/>
          <w:szCs w:val="24"/>
        </w:rPr>
        <w:t xml:space="preserve"> сформирована в составе, предусмотренном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</w:t>
      </w:r>
      <w:r w:rsidR="00612A0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72041" w:rsidRPr="00102063">
        <w:rPr>
          <w:rFonts w:ascii="Times New Roman" w:hAnsi="Times New Roman"/>
          <w:b w:val="0"/>
          <w:color w:val="auto"/>
          <w:sz w:val="24"/>
          <w:szCs w:val="24"/>
        </w:rPr>
        <w:t>33н.</w:t>
      </w:r>
    </w:p>
    <w:p w:rsidR="001253A2" w:rsidRDefault="001253A2" w:rsidP="001253A2">
      <w:pPr>
        <w:ind w:firstLine="709"/>
        <w:jc w:val="both"/>
        <w:rPr>
          <w:rFonts w:eastAsiaTheme="minorHAnsi"/>
          <w:lang w:eastAsia="en-US"/>
        </w:rPr>
      </w:pPr>
      <w:r w:rsidRPr="00397F57">
        <w:t xml:space="preserve">Проверкой достоверности </w:t>
      </w:r>
      <w:r>
        <w:t>бухгалтерской</w:t>
      </w:r>
      <w:r w:rsidRPr="00397F57">
        <w:t xml:space="preserve"> отчетности установлены нарушения</w:t>
      </w:r>
      <w:r w:rsidRPr="00397F57">
        <w:rPr>
          <w:rFonts w:eastAsiaTheme="minorHAnsi"/>
          <w:lang w:eastAsia="en-US"/>
        </w:rPr>
        <w:t xml:space="preserve"> требований к</w:t>
      </w:r>
      <w:r w:rsidRPr="00655265">
        <w:rPr>
          <w:rFonts w:eastAsiaTheme="minorHAnsi"/>
          <w:lang w:eastAsia="en-US"/>
        </w:rPr>
        <w:t xml:space="preserve"> б</w:t>
      </w:r>
      <w:r w:rsidR="00FF5503">
        <w:rPr>
          <w:rFonts w:eastAsiaTheme="minorHAnsi"/>
          <w:lang w:eastAsia="en-US"/>
        </w:rPr>
        <w:t>ухгалтерскому</w:t>
      </w:r>
      <w:r w:rsidRPr="00655265">
        <w:rPr>
          <w:rFonts w:eastAsiaTheme="minorHAnsi"/>
          <w:lang w:eastAsia="en-US"/>
        </w:rPr>
        <w:t xml:space="preserve"> учету</w:t>
      </w:r>
      <w:r>
        <w:rPr>
          <w:rFonts w:eastAsiaTheme="minorHAnsi"/>
          <w:lang w:eastAsia="en-US"/>
        </w:rPr>
        <w:t>, которые</w:t>
      </w:r>
      <w:r w:rsidRPr="00655265">
        <w:rPr>
          <w:rFonts w:eastAsiaTheme="minorHAnsi"/>
          <w:lang w:eastAsia="en-US"/>
        </w:rPr>
        <w:t xml:space="preserve"> повлекл</w:t>
      </w:r>
      <w:r>
        <w:rPr>
          <w:rFonts w:eastAsiaTheme="minorHAnsi"/>
          <w:lang w:eastAsia="en-US"/>
        </w:rPr>
        <w:t>и</w:t>
      </w:r>
      <w:r w:rsidRPr="00655265">
        <w:rPr>
          <w:rFonts w:eastAsiaTheme="minorHAnsi"/>
          <w:lang w:eastAsia="en-US"/>
        </w:rPr>
        <w:t xml:space="preserve"> формирование и представление </w:t>
      </w:r>
      <w:r>
        <w:rPr>
          <w:rFonts w:eastAsiaTheme="minorHAnsi"/>
          <w:lang w:eastAsia="en-US"/>
        </w:rPr>
        <w:t>бухгалтерской отчётности ГБУ «</w:t>
      </w:r>
      <w:proofErr w:type="spellStart"/>
      <w:r>
        <w:rPr>
          <w:rFonts w:eastAsiaTheme="minorHAnsi"/>
          <w:lang w:eastAsia="en-US"/>
        </w:rPr>
        <w:t>Волгоградавтодор</w:t>
      </w:r>
      <w:proofErr w:type="spellEnd"/>
      <w:r>
        <w:rPr>
          <w:rFonts w:eastAsiaTheme="minorHAnsi"/>
          <w:lang w:eastAsia="en-US"/>
        </w:rPr>
        <w:t>»</w:t>
      </w:r>
      <w:r w:rsidRPr="00996DB3">
        <w:rPr>
          <w:rFonts w:eastAsiaTheme="minorHAnsi"/>
          <w:lang w:eastAsia="en-US"/>
        </w:rPr>
        <w:t xml:space="preserve">, содержащей искаженные показатели, выраженные </w:t>
      </w:r>
      <w:r w:rsidRPr="00715653">
        <w:rPr>
          <w:rFonts w:eastAsiaTheme="minorHAnsi"/>
          <w:lang w:eastAsia="en-US"/>
        </w:rPr>
        <w:t xml:space="preserve">в денежном измерении, что привело к искажению информации об активах на общую сумму </w:t>
      </w:r>
      <w:r w:rsidR="00715653" w:rsidRPr="00715653">
        <w:rPr>
          <w:rFonts w:eastAsiaTheme="minorHAnsi"/>
          <w:lang w:eastAsia="en-US"/>
        </w:rPr>
        <w:t>109</w:t>
      </w:r>
      <w:r w:rsidR="00612A0C">
        <w:rPr>
          <w:rFonts w:eastAsiaTheme="minorHAnsi"/>
          <w:lang w:eastAsia="en-US"/>
        </w:rPr>
        <w:t> </w:t>
      </w:r>
      <w:r w:rsidR="00715653" w:rsidRPr="00715653">
        <w:rPr>
          <w:rFonts w:eastAsiaTheme="minorHAnsi"/>
          <w:lang w:eastAsia="en-US"/>
        </w:rPr>
        <w:t>078,9</w:t>
      </w:r>
      <w:r w:rsidRPr="00715653">
        <w:rPr>
          <w:rFonts w:eastAsiaTheme="minorHAnsi"/>
          <w:lang w:eastAsia="en-US"/>
        </w:rPr>
        <w:t xml:space="preserve"> тыс. руб., или на </w:t>
      </w:r>
      <w:r w:rsidR="00715653" w:rsidRPr="00715653">
        <w:t>0,9-10,6</w:t>
      </w:r>
      <w:r w:rsidRPr="00715653">
        <w:t xml:space="preserve"> %</w:t>
      </w:r>
      <w:r w:rsidRPr="00715653">
        <w:rPr>
          <w:rFonts w:eastAsiaTheme="minorHAnsi"/>
          <w:lang w:eastAsia="en-US"/>
        </w:rPr>
        <w:t>:</w:t>
      </w:r>
    </w:p>
    <w:p w:rsidR="00612A0C" w:rsidRPr="00612A0C" w:rsidRDefault="001253A2" w:rsidP="00612A0C">
      <w:pPr>
        <w:pStyle w:val="a3"/>
        <w:numPr>
          <w:ilvl w:val="0"/>
          <w:numId w:val="17"/>
        </w:numPr>
        <w:autoSpaceDE w:val="0"/>
        <w:spacing w:line="300" w:lineRule="exact"/>
        <w:ind w:left="0" w:firstLine="709"/>
        <w:jc w:val="both"/>
        <w:rPr>
          <w:rFonts w:eastAsia="Calibri"/>
          <w:lang w:eastAsia="en-US"/>
        </w:rPr>
      </w:pPr>
      <w:r>
        <w:t xml:space="preserve">В нарушение п. 71 Инструкции № 157н </w:t>
      </w:r>
      <w:r w:rsidR="007B3909" w:rsidRPr="007B3909">
        <w:rPr>
          <w:rFonts w:eastAsiaTheme="minorHAnsi"/>
          <w:lang w:eastAsia="en-US"/>
        </w:rPr>
        <w:t>ГБУ «</w:t>
      </w:r>
      <w:proofErr w:type="spellStart"/>
      <w:r w:rsidR="007B3909" w:rsidRPr="007B3909">
        <w:rPr>
          <w:rFonts w:eastAsiaTheme="minorHAnsi"/>
          <w:lang w:eastAsia="en-US"/>
        </w:rPr>
        <w:t>Волгоградавтодор</w:t>
      </w:r>
      <w:proofErr w:type="spellEnd"/>
      <w:r w:rsidR="007B3909" w:rsidRPr="007B3909">
        <w:rPr>
          <w:rFonts w:eastAsiaTheme="minorHAnsi"/>
          <w:lang w:eastAsia="en-US"/>
        </w:rPr>
        <w:t xml:space="preserve">» не учтены на </w:t>
      </w:r>
      <w:r w:rsidR="007B3909">
        <w:t>счёте 103 11 «</w:t>
      </w:r>
      <w:proofErr w:type="spellStart"/>
      <w:r w:rsidR="007B3909">
        <w:t>Непроизведенные</w:t>
      </w:r>
      <w:proofErr w:type="spellEnd"/>
      <w:r w:rsidR="007B3909">
        <w:t xml:space="preserve"> активы» </w:t>
      </w:r>
      <w:r>
        <w:t>19 земельных участков кадастровой стоимостью</w:t>
      </w:r>
      <w:r w:rsidR="007B3909">
        <w:t xml:space="preserve"> 98 610,0 тыс. руб.</w:t>
      </w:r>
      <w:r>
        <w:t>, используемы</w:t>
      </w:r>
      <w:r w:rsidR="00FF5503">
        <w:t>х</w:t>
      </w:r>
      <w:r>
        <w:t xml:space="preserve"> учреждени</w:t>
      </w:r>
      <w:r w:rsidR="007B3909">
        <w:t>ем</w:t>
      </w:r>
      <w:r>
        <w:t xml:space="preserve"> на праве постоянного (бессрочного) пользования</w:t>
      </w:r>
      <w:r w:rsidR="007B3909">
        <w:t>.</w:t>
      </w:r>
      <w:r w:rsidR="007B3909" w:rsidRPr="007B3909">
        <w:rPr>
          <w:rFonts w:eastAsiaTheme="minorHAnsi"/>
          <w:lang w:eastAsia="en-US"/>
        </w:rPr>
        <w:t xml:space="preserve"> Информация об активах </w:t>
      </w:r>
      <w:proofErr w:type="gramStart"/>
      <w:r w:rsidR="007B3909" w:rsidRPr="007B3909">
        <w:rPr>
          <w:rFonts w:eastAsiaTheme="minorHAnsi"/>
          <w:lang w:eastAsia="en-US"/>
        </w:rPr>
        <w:t>на конец</w:t>
      </w:r>
      <w:proofErr w:type="gramEnd"/>
      <w:r w:rsidR="007B3909" w:rsidRPr="007B3909">
        <w:rPr>
          <w:rFonts w:eastAsiaTheme="minorHAnsi"/>
          <w:lang w:eastAsia="en-US"/>
        </w:rPr>
        <w:t xml:space="preserve"> 2019 года искажена на </w:t>
      </w:r>
      <w:r w:rsidR="007B3909">
        <w:t xml:space="preserve">98 610,0 </w:t>
      </w:r>
      <w:r w:rsidR="007B3909" w:rsidRPr="007B3909">
        <w:rPr>
          <w:rFonts w:eastAsiaTheme="minorHAnsi"/>
          <w:lang w:eastAsia="en-US"/>
        </w:rPr>
        <w:t xml:space="preserve">тыс. руб., или </w:t>
      </w:r>
      <w:r w:rsidR="007B3909" w:rsidRPr="007B3909">
        <w:rPr>
          <w:rFonts w:eastAsia="Calibri"/>
          <w:lang w:eastAsia="en-US"/>
        </w:rPr>
        <w:t xml:space="preserve">на </w:t>
      </w:r>
      <w:r w:rsidR="00A36FBA">
        <w:rPr>
          <w:rFonts w:eastAsia="Calibri"/>
          <w:lang w:eastAsia="en-US"/>
        </w:rPr>
        <w:t>5,5-10,6</w:t>
      </w:r>
      <w:r w:rsidR="007B3909" w:rsidRPr="007B3909">
        <w:rPr>
          <w:rFonts w:eastAsia="Calibri"/>
          <w:lang w:eastAsia="en-US"/>
        </w:rPr>
        <w:t xml:space="preserve"> % в двух формах </w:t>
      </w:r>
      <w:r w:rsidR="00456623">
        <w:rPr>
          <w:rFonts w:eastAsia="Calibri"/>
          <w:lang w:eastAsia="en-US"/>
        </w:rPr>
        <w:t>бухгалтерской</w:t>
      </w:r>
      <w:r w:rsidR="007B3909" w:rsidRPr="007B3909">
        <w:rPr>
          <w:rFonts w:eastAsia="Calibri"/>
          <w:lang w:eastAsia="en-US"/>
        </w:rPr>
        <w:t xml:space="preserve"> отчетности</w:t>
      </w:r>
      <w:r w:rsidR="00612A0C">
        <w:rPr>
          <w:rFonts w:eastAsia="Calibri"/>
          <w:lang w:eastAsia="en-US"/>
        </w:rPr>
        <w:t xml:space="preserve"> </w:t>
      </w:r>
      <w:r w:rsidR="007B3909" w:rsidRPr="003E1EAB">
        <w:t>(ф.0503</w:t>
      </w:r>
      <w:r w:rsidR="007B3909">
        <w:t>7</w:t>
      </w:r>
      <w:r w:rsidR="007B3909" w:rsidRPr="003E1EAB">
        <w:t>30 «Баланс…», ф. 0503</w:t>
      </w:r>
      <w:r w:rsidR="007B3909">
        <w:t>7</w:t>
      </w:r>
      <w:r w:rsidR="007B3909" w:rsidRPr="003E1EAB">
        <w:t>68 «Сведения о движении нефинансовых активов»)</w:t>
      </w:r>
      <w:r w:rsidR="007B3909" w:rsidRPr="007B3909">
        <w:rPr>
          <w:rFonts w:eastAsia="Calibri"/>
          <w:lang w:eastAsia="en-US"/>
        </w:rPr>
        <w:t>.</w:t>
      </w:r>
    </w:p>
    <w:p w:rsidR="007B3909" w:rsidRDefault="007B3909" w:rsidP="00456623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00" w:lineRule="exact"/>
        <w:ind w:left="0" w:firstLine="709"/>
        <w:jc w:val="both"/>
        <w:rPr>
          <w:rFonts w:eastAsia="Calibri"/>
          <w:lang w:eastAsia="en-US"/>
        </w:rPr>
      </w:pPr>
      <w:proofErr w:type="gramStart"/>
      <w:r>
        <w:t xml:space="preserve">В нарушение п. 333 Инструкции № 157н </w:t>
      </w:r>
      <w:r w:rsidRPr="00EE10A1">
        <w:rPr>
          <w:rFonts w:eastAsiaTheme="minorHAnsi"/>
          <w:lang w:eastAsia="en-US"/>
        </w:rPr>
        <w:t>ГБУ «</w:t>
      </w:r>
      <w:proofErr w:type="spellStart"/>
      <w:r w:rsidRPr="00EE10A1">
        <w:rPr>
          <w:rFonts w:eastAsiaTheme="minorHAnsi"/>
          <w:lang w:eastAsia="en-US"/>
        </w:rPr>
        <w:t>Волгоградавтодор</w:t>
      </w:r>
      <w:proofErr w:type="spellEnd"/>
      <w:r w:rsidRPr="00EE10A1">
        <w:rPr>
          <w:rFonts w:eastAsiaTheme="minorHAnsi"/>
          <w:lang w:eastAsia="en-US"/>
        </w:rPr>
        <w:t xml:space="preserve">» не учтены на </w:t>
      </w:r>
      <w:r>
        <w:t xml:space="preserve">счёте 01 «Имущество, полученное в пользование» </w:t>
      </w:r>
      <w:r w:rsidRPr="00EE10A1">
        <w:rPr>
          <w:rFonts w:eastAsiaTheme="minorHAnsi"/>
          <w:lang w:eastAsia="en-US"/>
        </w:rPr>
        <w:t xml:space="preserve">права ограниченного пользования </w:t>
      </w:r>
      <w:r w:rsidRPr="00EE10A1">
        <w:rPr>
          <w:rFonts w:eastAsiaTheme="minorHAnsi"/>
          <w:lang w:eastAsia="en-US"/>
        </w:rPr>
        <w:lastRenderedPageBreak/>
        <w:t xml:space="preserve">земельным участком площадью </w:t>
      </w:r>
      <w:r>
        <w:t>601,44 кв.</w:t>
      </w:r>
      <w:r w:rsidR="00FF5503">
        <w:t> </w:t>
      </w:r>
      <w:r>
        <w:t>м кадастровой стоимостью 1 370,7 тыс. руб.</w:t>
      </w:r>
      <w:r w:rsidR="00456623">
        <w:t xml:space="preserve">, </w:t>
      </w:r>
      <w:r>
        <w:t>полученн</w:t>
      </w:r>
      <w:r w:rsidR="00456623">
        <w:t>ым</w:t>
      </w:r>
      <w:r w:rsidR="00612A0C">
        <w:t xml:space="preserve"> </w:t>
      </w:r>
      <w:r w:rsidR="00456623">
        <w:t xml:space="preserve">от </w:t>
      </w:r>
      <w:r w:rsidR="00612A0C">
        <w:t>государственного казённого учреждения Волгоградской области</w:t>
      </w:r>
      <w:r>
        <w:t xml:space="preserve"> «Дирекция по матери</w:t>
      </w:r>
      <w:r w:rsidR="00456623">
        <w:t>ально-техническому и хозяйствен</w:t>
      </w:r>
      <w:r>
        <w:t>ному обеспечению Администрации Волгоградской области» (далее - Дирекция МТХО)</w:t>
      </w:r>
      <w:r w:rsidR="00DC64DD">
        <w:t>,</w:t>
      </w:r>
      <w:r>
        <w:t xml:space="preserve"> </w:t>
      </w:r>
      <w:r w:rsidR="00456623">
        <w:t xml:space="preserve">по </w:t>
      </w:r>
      <w:r>
        <w:t>соглашени</w:t>
      </w:r>
      <w:r w:rsidR="00456623">
        <w:t>ю</w:t>
      </w:r>
      <w:r>
        <w:t xml:space="preserve"> от 16.12.2019 № 768 об установлении сервитута</w:t>
      </w:r>
      <w:r w:rsidR="00456623">
        <w:t>.</w:t>
      </w:r>
      <w:proofErr w:type="gramEnd"/>
      <w:r w:rsidR="00612A0C">
        <w:t xml:space="preserve"> </w:t>
      </w:r>
      <w:r w:rsidRPr="00EE10A1">
        <w:rPr>
          <w:rFonts w:eastAsiaTheme="minorHAnsi"/>
          <w:lang w:eastAsia="en-US"/>
        </w:rPr>
        <w:t xml:space="preserve">Информация об активах искажена на </w:t>
      </w:r>
      <w:r w:rsidR="00456623">
        <w:t xml:space="preserve">1 370,7 </w:t>
      </w:r>
      <w:r w:rsidRPr="00EE10A1">
        <w:rPr>
          <w:rFonts w:eastAsiaTheme="minorHAnsi"/>
          <w:lang w:eastAsia="en-US"/>
        </w:rPr>
        <w:t xml:space="preserve">тыс. руб., или </w:t>
      </w:r>
      <w:r w:rsidRPr="00EE10A1">
        <w:rPr>
          <w:rFonts w:eastAsia="Calibri"/>
          <w:lang w:eastAsia="en-US"/>
        </w:rPr>
        <w:t xml:space="preserve">на </w:t>
      </w:r>
      <w:r w:rsidR="00A603E1">
        <w:rPr>
          <w:rFonts w:eastAsia="Calibri"/>
          <w:lang w:eastAsia="en-US"/>
        </w:rPr>
        <w:t>1,1</w:t>
      </w:r>
      <w:r w:rsidRPr="00EE10A1">
        <w:rPr>
          <w:rFonts w:eastAsia="Calibri"/>
          <w:lang w:eastAsia="en-US"/>
        </w:rPr>
        <w:t xml:space="preserve"> % в двух формах </w:t>
      </w:r>
      <w:r w:rsidR="00456623" w:rsidRPr="00EE10A1">
        <w:rPr>
          <w:rFonts w:eastAsia="Calibri"/>
          <w:lang w:eastAsia="en-US"/>
        </w:rPr>
        <w:t>бухгалтерской</w:t>
      </w:r>
      <w:r w:rsidRPr="00EE10A1">
        <w:rPr>
          <w:rFonts w:eastAsia="Calibri"/>
          <w:lang w:eastAsia="en-US"/>
        </w:rPr>
        <w:t xml:space="preserve"> отчетности</w:t>
      </w:r>
      <w:r w:rsidR="00612A0C">
        <w:rPr>
          <w:rFonts w:eastAsia="Calibri"/>
          <w:lang w:eastAsia="en-US"/>
        </w:rPr>
        <w:t xml:space="preserve"> </w:t>
      </w:r>
      <w:r w:rsidRPr="003E1EAB">
        <w:t>(ф.0503</w:t>
      </w:r>
      <w:r>
        <w:t>7</w:t>
      </w:r>
      <w:r w:rsidRPr="003E1EAB">
        <w:t>30 «Баланс…», ф. 0503</w:t>
      </w:r>
      <w:r>
        <w:t>7</w:t>
      </w:r>
      <w:r w:rsidRPr="003E1EAB">
        <w:t>68 «Сведения о движении нефинансовых активов»)</w:t>
      </w:r>
      <w:r w:rsidRPr="00EE10A1">
        <w:rPr>
          <w:rFonts w:eastAsia="Calibri"/>
          <w:lang w:eastAsia="en-US"/>
        </w:rPr>
        <w:t>.</w:t>
      </w:r>
    </w:p>
    <w:p w:rsidR="00A4155F" w:rsidRDefault="00456623" w:rsidP="00822575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В нарушение п. 333 Инструкции № 157н </w:t>
      </w:r>
      <w:r w:rsidRPr="00456623">
        <w:rPr>
          <w:rFonts w:eastAsiaTheme="minorHAnsi"/>
          <w:lang w:eastAsia="en-US"/>
        </w:rPr>
        <w:t>ГБУ «</w:t>
      </w:r>
      <w:proofErr w:type="spellStart"/>
      <w:r w:rsidRPr="00456623">
        <w:rPr>
          <w:rFonts w:eastAsiaTheme="minorHAnsi"/>
          <w:lang w:eastAsia="en-US"/>
        </w:rPr>
        <w:t>Волгоградавтодор</w:t>
      </w:r>
      <w:proofErr w:type="spellEnd"/>
      <w:r w:rsidRPr="00456623">
        <w:rPr>
          <w:rFonts w:eastAsiaTheme="minorHAnsi"/>
          <w:lang w:eastAsia="en-US"/>
        </w:rPr>
        <w:t xml:space="preserve">» </w:t>
      </w:r>
      <w:r w:rsidR="00EE10A1">
        <w:rPr>
          <w:rFonts w:eastAsiaTheme="minorHAnsi"/>
          <w:lang w:eastAsia="en-US"/>
        </w:rPr>
        <w:t xml:space="preserve">безосновательно </w:t>
      </w:r>
      <w:r w:rsidRPr="00456623">
        <w:rPr>
          <w:rFonts w:eastAsiaTheme="minorHAnsi"/>
          <w:lang w:eastAsia="en-US"/>
        </w:rPr>
        <w:t xml:space="preserve">учтены на </w:t>
      </w:r>
      <w:r>
        <w:t xml:space="preserve">счёте 01 «Имущество, полученное в пользование» </w:t>
      </w:r>
      <w:r w:rsidR="00A4155F">
        <w:t>нежилые помещения по адресу: г.</w:t>
      </w:r>
      <w:r w:rsidR="00FF5503">
        <w:t> </w:t>
      </w:r>
      <w:r w:rsidR="00A4155F">
        <w:t>Волгоград, ул. Елецкая, д.1а площадью 734,3 кв.</w:t>
      </w:r>
      <w:r w:rsidR="00FF5503">
        <w:t> </w:t>
      </w:r>
      <w:r w:rsidR="00A4155F">
        <w:t>м общей стоимостью 7 965,7 тыс. руб.,</w:t>
      </w:r>
      <w:r w:rsidR="00612A0C">
        <w:t xml:space="preserve"> </w:t>
      </w:r>
      <w:r w:rsidR="00A4155F">
        <w:rPr>
          <w:rFonts w:eastAsiaTheme="minorHAnsi"/>
          <w:lang w:eastAsia="en-US"/>
        </w:rPr>
        <w:t xml:space="preserve">полученные </w:t>
      </w:r>
      <w:r w:rsidR="00A4155F">
        <w:t xml:space="preserve">в безвозмездное пользование от </w:t>
      </w:r>
      <w:proofErr w:type="spellStart"/>
      <w:r w:rsidR="00A4155F">
        <w:t>Дирекци</w:t>
      </w:r>
      <w:r w:rsidR="00DC64DD">
        <w:t>ии</w:t>
      </w:r>
      <w:proofErr w:type="spellEnd"/>
      <w:r w:rsidR="00A4155F">
        <w:t xml:space="preserve"> МТХО по договору от 09.07.2018 № 22/2018 и возвращённые 25.10.2018.</w:t>
      </w:r>
      <w:proofErr w:type="gramEnd"/>
      <w:r w:rsidR="00FF5503">
        <w:t> </w:t>
      </w:r>
      <w:r w:rsidR="00A4155F">
        <w:t>То есть</w:t>
      </w:r>
      <w:r w:rsidR="00C44095">
        <w:t>,</w:t>
      </w:r>
      <w:r w:rsidR="00A4155F">
        <w:t xml:space="preserve"> в бухгалтерскую отчетность включены показатели, характеризующие объекты бухгалтерского учета и не подтвержденные соответствующими первичными учетными документами</w:t>
      </w:r>
      <w:r w:rsidR="00DC64DD">
        <w:t xml:space="preserve">, в </w:t>
      </w:r>
      <w:proofErr w:type="gramStart"/>
      <w:r w:rsidR="00DC64DD">
        <w:t>связи</w:t>
      </w:r>
      <w:proofErr w:type="gramEnd"/>
      <w:r w:rsidR="00DC64DD">
        <w:t xml:space="preserve"> с чем</w:t>
      </w:r>
      <w:r w:rsidR="00EE10A1">
        <w:t xml:space="preserve"> </w:t>
      </w:r>
      <w:r w:rsidR="00EE10A1">
        <w:rPr>
          <w:rFonts w:eastAsiaTheme="minorHAnsi"/>
          <w:lang w:eastAsia="en-US"/>
        </w:rPr>
        <w:t>и</w:t>
      </w:r>
      <w:r w:rsidR="00EE10A1" w:rsidRPr="007B3909">
        <w:rPr>
          <w:rFonts w:eastAsiaTheme="minorHAnsi"/>
          <w:lang w:eastAsia="en-US"/>
        </w:rPr>
        <w:t xml:space="preserve">нформация об активах искажена на </w:t>
      </w:r>
      <w:r w:rsidR="00EE10A1">
        <w:t xml:space="preserve">7 965,7 </w:t>
      </w:r>
      <w:r w:rsidR="00EE10A1" w:rsidRPr="007B3909">
        <w:rPr>
          <w:rFonts w:eastAsiaTheme="minorHAnsi"/>
          <w:lang w:eastAsia="en-US"/>
        </w:rPr>
        <w:t xml:space="preserve">тыс. руб., или </w:t>
      </w:r>
      <w:r w:rsidR="00EE10A1" w:rsidRPr="007B3909">
        <w:rPr>
          <w:rFonts w:eastAsia="Calibri"/>
          <w:lang w:eastAsia="en-US"/>
        </w:rPr>
        <w:t xml:space="preserve">на </w:t>
      </w:r>
      <w:r w:rsidR="00715653">
        <w:rPr>
          <w:rFonts w:eastAsia="Calibri"/>
          <w:lang w:eastAsia="en-US"/>
        </w:rPr>
        <w:t>6,2-6,5</w:t>
      </w:r>
      <w:r w:rsidR="00C44095">
        <w:rPr>
          <w:rFonts w:eastAsia="Calibri"/>
          <w:lang w:eastAsia="en-US"/>
        </w:rPr>
        <w:t> </w:t>
      </w:r>
      <w:r w:rsidR="00EE10A1" w:rsidRPr="007B3909">
        <w:rPr>
          <w:rFonts w:eastAsia="Calibri"/>
          <w:lang w:eastAsia="en-US"/>
        </w:rPr>
        <w:t xml:space="preserve">% в двух формах </w:t>
      </w:r>
      <w:r w:rsidR="00EE10A1">
        <w:rPr>
          <w:rFonts w:eastAsia="Calibri"/>
          <w:lang w:eastAsia="en-US"/>
        </w:rPr>
        <w:t>бухгалтерской</w:t>
      </w:r>
      <w:r w:rsidR="00EE10A1" w:rsidRPr="007B3909">
        <w:rPr>
          <w:rFonts w:eastAsia="Calibri"/>
          <w:lang w:eastAsia="en-US"/>
        </w:rPr>
        <w:t xml:space="preserve"> отчетности</w:t>
      </w:r>
      <w:r w:rsidR="00C44095">
        <w:rPr>
          <w:rFonts w:eastAsia="Calibri"/>
          <w:lang w:eastAsia="en-US"/>
        </w:rPr>
        <w:t xml:space="preserve"> </w:t>
      </w:r>
      <w:r w:rsidR="00EE10A1" w:rsidRPr="003E1EAB">
        <w:t>(ф.0503</w:t>
      </w:r>
      <w:r w:rsidR="00EE10A1">
        <w:t>7</w:t>
      </w:r>
      <w:r w:rsidR="00EE10A1" w:rsidRPr="003E1EAB">
        <w:t>30 «Баланс…», ф. 0503</w:t>
      </w:r>
      <w:r w:rsidR="00EE10A1">
        <w:t>7</w:t>
      </w:r>
      <w:r w:rsidR="00EE10A1" w:rsidRPr="003E1EAB">
        <w:t>68 «Сведения о движении нефинансовых активов»)</w:t>
      </w:r>
      <w:r w:rsidR="00EE10A1">
        <w:t>.</w:t>
      </w:r>
    </w:p>
    <w:p w:rsidR="00EE10A1" w:rsidRPr="00715653" w:rsidRDefault="00EE10A1" w:rsidP="00801493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В нарушение п. 333 Инструкции № 157н </w:t>
      </w:r>
      <w:r w:rsidRPr="00822575">
        <w:rPr>
          <w:rFonts w:eastAsiaTheme="minorHAnsi"/>
          <w:lang w:eastAsia="en-US"/>
        </w:rPr>
        <w:t>ГБУ «</w:t>
      </w:r>
      <w:proofErr w:type="spellStart"/>
      <w:r w:rsidRPr="00822575">
        <w:rPr>
          <w:rFonts w:eastAsiaTheme="minorHAnsi"/>
          <w:lang w:eastAsia="en-US"/>
        </w:rPr>
        <w:t>Волгоградавтодор</w:t>
      </w:r>
      <w:proofErr w:type="spellEnd"/>
      <w:r w:rsidRPr="00822575">
        <w:rPr>
          <w:rFonts w:eastAsiaTheme="minorHAnsi"/>
          <w:lang w:eastAsia="en-US"/>
        </w:rPr>
        <w:t xml:space="preserve">» учитывало на </w:t>
      </w:r>
      <w:r>
        <w:t>счёте 01 «Имущество, полученное в пользование»</w:t>
      </w:r>
      <w:r w:rsidR="00C44095">
        <w:t xml:space="preserve"> </w:t>
      </w:r>
      <w:r>
        <w:t>166 единиц</w:t>
      </w:r>
      <w:r w:rsidR="00C44095">
        <w:t xml:space="preserve"> </w:t>
      </w:r>
      <w:r>
        <w:t>бортовых устройств, предоставленных в безвозмездное пользование оператором системы взимания платы «Платон»</w:t>
      </w:r>
      <w:r w:rsidR="00C44095">
        <w:t xml:space="preserve"> </w:t>
      </w:r>
      <w:r>
        <w:t>ООО «РТИТС» и предназначенных для установки на транспортные средства с разрешенной максимальной массой более 12 т</w:t>
      </w:r>
      <w:r w:rsidR="00822575">
        <w:t xml:space="preserve">, </w:t>
      </w:r>
      <w:r w:rsidR="00DC64DD">
        <w:t xml:space="preserve">по условной стоимости 1 руб., а </w:t>
      </w:r>
      <w:r w:rsidR="00822575">
        <w:t>не</w:t>
      </w:r>
      <w:r w:rsidR="00C44095">
        <w:t xml:space="preserve"> </w:t>
      </w:r>
      <w:r w:rsidR="00822575" w:rsidRPr="00056C4D">
        <w:t xml:space="preserve">по стоимости, указанной передающей стороной </w:t>
      </w:r>
      <w:r w:rsidR="00822575">
        <w:t>в п. 3.3</w:t>
      </w:r>
      <w:proofErr w:type="gramEnd"/>
      <w:r w:rsidR="00822575">
        <w:t xml:space="preserve"> Договора от 26.05.2017 № 555582 в размере 6822,98 руб. за единицу.</w:t>
      </w:r>
      <w:r w:rsidR="00C44095">
        <w:t xml:space="preserve"> </w:t>
      </w:r>
      <w:r w:rsidR="00822575" w:rsidRPr="00EE10A1">
        <w:rPr>
          <w:rFonts w:eastAsiaTheme="minorHAnsi"/>
          <w:lang w:eastAsia="en-US"/>
        </w:rPr>
        <w:t xml:space="preserve">Информация об активах искажена на </w:t>
      </w:r>
      <w:r w:rsidR="00822575">
        <w:t xml:space="preserve">1 132,5 </w:t>
      </w:r>
      <w:r w:rsidR="00822575" w:rsidRPr="00EE10A1">
        <w:rPr>
          <w:rFonts w:eastAsiaTheme="minorHAnsi"/>
          <w:lang w:eastAsia="en-US"/>
        </w:rPr>
        <w:t xml:space="preserve">тыс. руб., или </w:t>
      </w:r>
      <w:r w:rsidR="00822575" w:rsidRPr="00EE10A1">
        <w:rPr>
          <w:rFonts w:eastAsia="Calibri"/>
          <w:lang w:eastAsia="en-US"/>
        </w:rPr>
        <w:t xml:space="preserve">на </w:t>
      </w:r>
      <w:r w:rsidR="00715653">
        <w:rPr>
          <w:rFonts w:eastAsia="Calibri"/>
          <w:lang w:eastAsia="en-US"/>
        </w:rPr>
        <w:t>0,9</w:t>
      </w:r>
      <w:r w:rsidR="00822575" w:rsidRPr="00EE10A1">
        <w:rPr>
          <w:rFonts w:eastAsia="Calibri"/>
          <w:lang w:eastAsia="en-US"/>
        </w:rPr>
        <w:t xml:space="preserve"> % в двух формах бухгалтерской отчетности</w:t>
      </w:r>
      <w:r w:rsidR="00C44095">
        <w:rPr>
          <w:rFonts w:eastAsia="Calibri"/>
          <w:lang w:eastAsia="en-US"/>
        </w:rPr>
        <w:t xml:space="preserve"> </w:t>
      </w:r>
      <w:r w:rsidR="00822575" w:rsidRPr="003E1EAB">
        <w:t>(ф.0503</w:t>
      </w:r>
      <w:r w:rsidR="00822575">
        <w:t>7</w:t>
      </w:r>
      <w:r w:rsidR="00822575" w:rsidRPr="003E1EAB">
        <w:t>30 «Баланс…», ф. 0503</w:t>
      </w:r>
      <w:r w:rsidR="00822575">
        <w:t>7</w:t>
      </w:r>
      <w:r w:rsidR="00822575" w:rsidRPr="003E1EAB">
        <w:t xml:space="preserve">68 «Сведения о движении </w:t>
      </w:r>
      <w:r w:rsidR="00822575" w:rsidRPr="00801493">
        <w:t>нефинансовых активов»)</w:t>
      </w:r>
      <w:r w:rsidR="00822575" w:rsidRPr="00801493">
        <w:rPr>
          <w:rFonts w:eastAsia="Calibri"/>
          <w:lang w:eastAsia="en-US"/>
        </w:rPr>
        <w:t>.</w:t>
      </w:r>
    </w:p>
    <w:p w:rsidR="001C5BFA" w:rsidRPr="001C5BFA" w:rsidRDefault="001C5BFA" w:rsidP="00801493">
      <w:pPr>
        <w:tabs>
          <w:tab w:val="left" w:pos="284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lang w:eastAsia="en-US"/>
        </w:rPr>
      </w:pPr>
      <w:r w:rsidRPr="00BD20D6">
        <w:rPr>
          <w:rFonts w:eastAsiaTheme="minorHAnsi"/>
          <w:lang w:eastAsia="en-US"/>
        </w:rPr>
        <w:t>В ходе проверки нарушения устранены. Бюджетная отчетность</w:t>
      </w:r>
      <w:r w:rsidRPr="00BD20D6">
        <w:rPr>
          <w:rFonts w:eastAsia="Calibri"/>
          <w:lang w:eastAsia="en-US"/>
        </w:rPr>
        <w:t xml:space="preserve"> </w:t>
      </w:r>
      <w:r w:rsidR="00ED489A">
        <w:rPr>
          <w:rFonts w:eastAsia="Calibri"/>
          <w:lang w:eastAsia="en-US"/>
        </w:rPr>
        <w:t>Комитета</w:t>
      </w:r>
      <w:r w:rsidRPr="00996DB3">
        <w:rPr>
          <w:rFonts w:eastAsia="Calibri"/>
          <w:lang w:eastAsia="en-US"/>
        </w:rPr>
        <w:t xml:space="preserve"> и бухгалтерская отчетность ГБУ «</w:t>
      </w:r>
      <w:proofErr w:type="spellStart"/>
      <w:r w:rsidR="00ED489A">
        <w:rPr>
          <w:rFonts w:eastAsia="Calibri"/>
          <w:lang w:eastAsia="en-US"/>
        </w:rPr>
        <w:t>Волгоградавтодор</w:t>
      </w:r>
      <w:proofErr w:type="spellEnd"/>
      <w:r w:rsidRPr="00996DB3">
        <w:rPr>
          <w:rFonts w:eastAsia="Calibri"/>
          <w:lang w:eastAsia="en-US"/>
        </w:rPr>
        <w:t>»</w:t>
      </w:r>
      <w:r w:rsidRPr="00996DB3">
        <w:rPr>
          <w:rFonts w:eastAsiaTheme="minorHAnsi"/>
          <w:lang w:eastAsia="en-US"/>
        </w:rPr>
        <w:t>, содержащая уточненные (исправленные) показатели, представлена в комитет финансов Волгоградской области до её принятия.</w:t>
      </w:r>
    </w:p>
    <w:p w:rsidR="00E962B6" w:rsidRDefault="00E962B6" w:rsidP="00DC2B52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</w:p>
    <w:p w:rsidR="00972041" w:rsidRDefault="00972041" w:rsidP="00972041">
      <w:pPr>
        <w:autoSpaceDE w:val="0"/>
        <w:autoSpaceDN w:val="0"/>
        <w:adjustRightInd w:val="0"/>
        <w:ind w:firstLine="360"/>
        <w:jc w:val="center"/>
        <w:rPr>
          <w:b/>
          <w:i/>
        </w:rPr>
      </w:pPr>
      <w:r w:rsidRPr="00011C86">
        <w:rPr>
          <w:b/>
          <w:i/>
        </w:rPr>
        <w:t>Исполнение плановых назначений по закрепленным доходам</w:t>
      </w:r>
    </w:p>
    <w:p w:rsidR="00CF6634" w:rsidRDefault="00330316" w:rsidP="00330316">
      <w:pPr>
        <w:ind w:firstLine="709"/>
        <w:jc w:val="both"/>
        <w:rPr>
          <w:rFonts w:eastAsia="Calibri"/>
        </w:rPr>
      </w:pPr>
      <w:r w:rsidRPr="00F27BB2">
        <w:t>Плановые назначения по доходам</w:t>
      </w:r>
      <w:r>
        <w:t xml:space="preserve">, </w:t>
      </w:r>
      <w:proofErr w:type="spellStart"/>
      <w:r>
        <w:t>администрируемы</w:t>
      </w:r>
      <w:r w:rsidR="00A07918">
        <w:t>м</w:t>
      </w:r>
      <w:proofErr w:type="spellEnd"/>
      <w:r>
        <w:t xml:space="preserve"> Комитетом,</w:t>
      </w:r>
      <w:r w:rsidRPr="00F27BB2">
        <w:t xml:space="preserve"> исполнены в сумме </w:t>
      </w:r>
      <w:r w:rsidRPr="00F27BB2">
        <w:rPr>
          <w:bCs/>
        </w:rPr>
        <w:t>4</w:t>
      </w:r>
      <w:r>
        <w:rPr>
          <w:bCs/>
        </w:rPr>
        <w:t> </w:t>
      </w:r>
      <w:r w:rsidRPr="00F27BB2">
        <w:rPr>
          <w:bCs/>
        </w:rPr>
        <w:t>060</w:t>
      </w:r>
      <w:r>
        <w:rPr>
          <w:bCs/>
        </w:rPr>
        <w:t> </w:t>
      </w:r>
      <w:r w:rsidRPr="00F27BB2">
        <w:rPr>
          <w:bCs/>
        </w:rPr>
        <w:t>166,2</w:t>
      </w:r>
      <w:r w:rsidR="00DC64DD">
        <w:rPr>
          <w:bCs/>
        </w:rPr>
        <w:t xml:space="preserve"> </w:t>
      </w:r>
      <w:r w:rsidRPr="00F27BB2">
        <w:t>тыс. руб., или на 90,5</w:t>
      </w:r>
      <w:r w:rsidR="00FF5503">
        <w:t xml:space="preserve"> % (см. Приложение </w:t>
      </w:r>
      <w:r w:rsidR="00792DAE">
        <w:t>№ 1)</w:t>
      </w:r>
      <w:r w:rsidRPr="00F27BB2">
        <w:t>.</w:t>
      </w:r>
    </w:p>
    <w:p w:rsidR="00972041" w:rsidRPr="00D62040" w:rsidRDefault="009D433B" w:rsidP="00972041">
      <w:pPr>
        <w:ind w:firstLine="709"/>
        <w:jc w:val="both"/>
      </w:pPr>
      <w:r w:rsidRPr="00F27BB2">
        <w:t>Общий р</w:t>
      </w:r>
      <w:r w:rsidR="00972041" w:rsidRPr="00F27BB2">
        <w:t xml:space="preserve">азмер </w:t>
      </w:r>
      <w:r w:rsidR="003517EC" w:rsidRPr="00F27BB2">
        <w:t>не</w:t>
      </w:r>
      <w:r w:rsidR="002D0273">
        <w:t>ис</w:t>
      </w:r>
      <w:r w:rsidR="003517EC" w:rsidRPr="00F27BB2">
        <w:t>полненных</w:t>
      </w:r>
      <w:r w:rsidR="00972041" w:rsidRPr="00F27BB2">
        <w:t xml:space="preserve"> </w:t>
      </w:r>
      <w:r w:rsidR="00972041" w:rsidRPr="00D62040">
        <w:t xml:space="preserve">назначений по доходам </w:t>
      </w:r>
      <w:r w:rsidR="007C6654" w:rsidRPr="00D62040">
        <w:t>в</w:t>
      </w:r>
      <w:r w:rsidR="00972041" w:rsidRPr="00D62040">
        <w:t xml:space="preserve"> 201</w:t>
      </w:r>
      <w:r w:rsidR="00993F04" w:rsidRPr="00D62040">
        <w:t>9</w:t>
      </w:r>
      <w:r w:rsidR="00972041" w:rsidRPr="00D62040">
        <w:t xml:space="preserve"> год</w:t>
      </w:r>
      <w:r w:rsidR="007C6654" w:rsidRPr="00D62040">
        <w:t>у</w:t>
      </w:r>
      <w:r w:rsidR="00972041" w:rsidRPr="00D62040">
        <w:t xml:space="preserve"> составил </w:t>
      </w:r>
      <w:r w:rsidR="00DD5B21" w:rsidRPr="00D62040">
        <w:rPr>
          <w:bCs/>
        </w:rPr>
        <w:t>425 1</w:t>
      </w:r>
      <w:r w:rsidR="002B1951" w:rsidRPr="00D62040">
        <w:rPr>
          <w:bCs/>
        </w:rPr>
        <w:t>3</w:t>
      </w:r>
      <w:r w:rsidR="00DD5B21" w:rsidRPr="00D62040">
        <w:rPr>
          <w:bCs/>
        </w:rPr>
        <w:t xml:space="preserve">8,1 </w:t>
      </w:r>
      <w:r w:rsidR="00972041" w:rsidRPr="00D62040">
        <w:rPr>
          <w:bCs/>
        </w:rPr>
        <w:t>тыс</w:t>
      </w:r>
      <w:r w:rsidR="00972041" w:rsidRPr="00D62040">
        <w:t xml:space="preserve">. руб., </w:t>
      </w:r>
      <w:r w:rsidR="00F27BB2" w:rsidRPr="00D62040">
        <w:t xml:space="preserve">что, в основном, обусловлено отсутствием потребности в расходах на завершение строительства объекта «Строительство второго, третьего и четвертого пусковых комплексов мостового перехода через реку Волга в городе Волгограде Волгоградской области. </w:t>
      </w:r>
      <w:proofErr w:type="gramStart"/>
      <w:r w:rsidR="00F27BB2" w:rsidRPr="00D62040">
        <w:t>Второй пусковой комплекс» (далее – Второй пусковой комплекс) (-555 188,2 тыс. руб.)</w:t>
      </w:r>
      <w:r w:rsidR="00D62040" w:rsidRPr="00D62040">
        <w:t xml:space="preserve"> в связи </w:t>
      </w:r>
      <w:r w:rsidR="00E3713C">
        <w:t xml:space="preserve">с </w:t>
      </w:r>
      <w:r w:rsidR="00D62040" w:rsidRPr="00D62040">
        <w:t>произведённым в 2019 году изменением</w:t>
      </w:r>
      <w:r w:rsidR="00D62040" w:rsidRPr="00D62040">
        <w:rPr>
          <w:color w:val="000000"/>
        </w:rPr>
        <w:t xml:space="preserve"> проектной документации в части видов и объемов строительно-монтажных работ</w:t>
      </w:r>
      <w:r w:rsidR="00F27BB2" w:rsidRPr="00D62040">
        <w:t xml:space="preserve"> и увеличением иного межбюджетного трансферта на финансовое обеспечение дорожной деятельности в рамках реализации НП «БКАД» (+139 843,5 тыс. руб.).</w:t>
      </w:r>
      <w:proofErr w:type="gramEnd"/>
    </w:p>
    <w:p w:rsidR="00AE2745" w:rsidRDefault="00AE2745" w:rsidP="00972041">
      <w:pPr>
        <w:autoSpaceDE w:val="0"/>
        <w:autoSpaceDN w:val="0"/>
        <w:adjustRightInd w:val="0"/>
        <w:jc w:val="center"/>
        <w:rPr>
          <w:b/>
          <w:i/>
        </w:rPr>
      </w:pPr>
    </w:p>
    <w:p w:rsidR="00972041" w:rsidRDefault="00972041" w:rsidP="00972041">
      <w:pPr>
        <w:autoSpaceDE w:val="0"/>
        <w:autoSpaceDN w:val="0"/>
        <w:adjustRightInd w:val="0"/>
        <w:jc w:val="center"/>
        <w:rPr>
          <w:b/>
          <w:i/>
        </w:rPr>
      </w:pPr>
      <w:r w:rsidRPr="00C679F0">
        <w:rPr>
          <w:b/>
          <w:i/>
        </w:rPr>
        <w:t>Исполнение расходов</w:t>
      </w:r>
    </w:p>
    <w:p w:rsidR="00B36909" w:rsidRPr="00D62040" w:rsidRDefault="00972041" w:rsidP="004D26F9">
      <w:pPr>
        <w:ind w:firstLine="709"/>
        <w:jc w:val="both"/>
      </w:pPr>
      <w:r w:rsidRPr="00C679F0">
        <w:t xml:space="preserve">Законом об областном бюджете </w:t>
      </w:r>
      <w:r w:rsidR="00330316">
        <w:t xml:space="preserve">на 2019 год </w:t>
      </w:r>
      <w:r w:rsidRPr="00C679F0">
        <w:t xml:space="preserve">Комитету </w:t>
      </w:r>
      <w:r w:rsidR="00330316">
        <w:t>предусмотрены бюджетные</w:t>
      </w:r>
      <w:r w:rsidRPr="00C679F0">
        <w:t xml:space="preserve"> ассигнования в сумме </w:t>
      </w:r>
      <w:r w:rsidR="00434A97" w:rsidRPr="00434A97">
        <w:t>12</w:t>
      </w:r>
      <w:r w:rsidR="00434A97" w:rsidRPr="00434A97">
        <w:rPr>
          <w:rFonts w:eastAsiaTheme="minorHAnsi"/>
          <w:lang w:eastAsia="en-US"/>
        </w:rPr>
        <w:t> 041 539</w:t>
      </w:r>
      <w:r w:rsidR="00434A97">
        <w:rPr>
          <w:rFonts w:eastAsiaTheme="minorHAnsi"/>
          <w:lang w:eastAsia="en-US"/>
        </w:rPr>
        <w:t>,1</w:t>
      </w:r>
      <w:r w:rsidR="00330316">
        <w:rPr>
          <w:rFonts w:eastAsiaTheme="minorHAnsi"/>
          <w:lang w:eastAsia="en-US"/>
        </w:rPr>
        <w:t xml:space="preserve"> </w:t>
      </w:r>
      <w:r w:rsidRPr="00C679F0">
        <w:t>тыс. рублей. Согласно отчету об исполнении бюджета (ф. 0305127) утвержденные бюджетные назначения</w:t>
      </w:r>
      <w:r w:rsidR="00330316">
        <w:t xml:space="preserve"> </w:t>
      </w:r>
      <w:r w:rsidR="00C24901" w:rsidRPr="00EF0123">
        <w:t xml:space="preserve">составили </w:t>
      </w:r>
      <w:r w:rsidR="00EF0123" w:rsidRPr="00EF0123">
        <w:t>11</w:t>
      </w:r>
      <w:r w:rsidR="00C24901" w:rsidRPr="00EF0123">
        <w:t> </w:t>
      </w:r>
      <w:r w:rsidR="00EF0123" w:rsidRPr="00EF0123">
        <w:t>634 </w:t>
      </w:r>
      <w:r w:rsidR="00DC64DD">
        <w:t>686</w:t>
      </w:r>
      <w:r w:rsidR="00EF0123" w:rsidRPr="00EF0123">
        <w:t>,9</w:t>
      </w:r>
      <w:r w:rsidRPr="00841EF9">
        <w:t xml:space="preserve"> тыс</w:t>
      </w:r>
      <w:r w:rsidRPr="00224A84">
        <w:t xml:space="preserve">. руб., или </w:t>
      </w:r>
      <w:r w:rsidRPr="00841EF9">
        <w:t xml:space="preserve">на </w:t>
      </w:r>
      <w:r w:rsidR="00EF0123">
        <w:t>406</w:t>
      </w:r>
      <w:r w:rsidR="00DC64DD">
        <w:t> 852,2</w:t>
      </w:r>
      <w:r w:rsidR="00330316">
        <w:t xml:space="preserve"> </w:t>
      </w:r>
      <w:r w:rsidRPr="00C679F0">
        <w:t xml:space="preserve">тыс. руб. </w:t>
      </w:r>
      <w:r w:rsidR="00F21324">
        <w:t>мен</w:t>
      </w:r>
      <w:r w:rsidRPr="00C679F0">
        <w:t>ьше объёма ассигнований</w:t>
      </w:r>
      <w:r w:rsidR="007910CE">
        <w:t>, утверждённых Законом об областном бюджете на 2019 год</w:t>
      </w:r>
      <w:r w:rsidR="009F31B8">
        <w:t>, что</w:t>
      </w:r>
      <w:r w:rsidR="002D0273">
        <w:t>,</w:t>
      </w:r>
      <w:r w:rsidR="009F31B8">
        <w:t xml:space="preserve"> в основном</w:t>
      </w:r>
      <w:r w:rsidR="002D0273">
        <w:t>,</w:t>
      </w:r>
      <w:r w:rsidR="009F31B8">
        <w:t xml:space="preserve"> связано с </w:t>
      </w:r>
      <w:r w:rsidR="009F31B8" w:rsidRPr="00D62040">
        <w:t>отсутствием потребности в расходах на завершение строительства</w:t>
      </w:r>
      <w:proofErr w:type="gramStart"/>
      <w:r w:rsidR="009F31B8" w:rsidRPr="00D62040">
        <w:t xml:space="preserve"> В</w:t>
      </w:r>
      <w:proofErr w:type="gramEnd"/>
      <w:r w:rsidR="009F31B8" w:rsidRPr="00D62040">
        <w:t>торого пускового комплекса</w:t>
      </w:r>
      <w:r w:rsidR="004D26F9" w:rsidRPr="00D62040">
        <w:t>.</w:t>
      </w:r>
    </w:p>
    <w:p w:rsidR="005B52DF" w:rsidRDefault="005B52DF" w:rsidP="005B52DF">
      <w:pPr>
        <w:ind w:firstLine="709"/>
        <w:jc w:val="both"/>
      </w:pPr>
      <w:r w:rsidRPr="00D62040">
        <w:t>Расходы Комитета в сумме 1</w:t>
      </w:r>
      <w:r w:rsidR="00B44AEC" w:rsidRPr="00D62040">
        <w:t>0 934 181,5</w:t>
      </w:r>
      <w:r w:rsidRPr="00D62040">
        <w:t xml:space="preserve"> (</w:t>
      </w:r>
      <w:r w:rsidRPr="00B44AEC">
        <w:t>97,</w:t>
      </w:r>
      <w:r w:rsidR="00B44AEC" w:rsidRPr="00B44AEC">
        <w:t>6</w:t>
      </w:r>
      <w:r w:rsidRPr="00B44AEC">
        <w:t>%)</w:t>
      </w:r>
      <w:r>
        <w:t xml:space="preserve"> исполнены в рамках трёх государственных программ</w:t>
      </w:r>
      <w:r w:rsidRPr="0019434E">
        <w:t>:</w:t>
      </w:r>
    </w:p>
    <w:p w:rsidR="005B52DF" w:rsidRDefault="005B52DF" w:rsidP="005B52DF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lastRenderedPageBreak/>
        <w:t>-</w:t>
      </w:r>
      <w:r w:rsidRPr="00E659BE">
        <w:t xml:space="preserve">Развитие транспортной системы и обеспечение </w:t>
      </w:r>
      <w:r w:rsidRPr="00E659BE">
        <w:rPr>
          <w:rFonts w:eastAsia="Calibri"/>
          <w:lang w:eastAsia="en-US"/>
        </w:rPr>
        <w:t xml:space="preserve">безопасности дорожного движения в </w:t>
      </w:r>
      <w:r w:rsidRPr="00E659BE">
        <w:t>Волгоградской области</w:t>
      </w:r>
      <w:r>
        <w:t xml:space="preserve">, </w:t>
      </w:r>
      <w:r>
        <w:rPr>
          <w:bCs/>
          <w:iCs/>
        </w:rPr>
        <w:t>у</w:t>
      </w:r>
      <w:r w:rsidRPr="007405A4">
        <w:rPr>
          <w:bCs/>
          <w:iCs/>
        </w:rPr>
        <w:t>твержденной постановлением Администрации Волгоградской области от 23.01.2017 № 16-п</w:t>
      </w:r>
      <w:r>
        <w:rPr>
          <w:bCs/>
          <w:iCs/>
        </w:rPr>
        <w:t xml:space="preserve"> (далее – ГП «Транспорт»), в составе трёх подпрограмм:</w:t>
      </w:r>
    </w:p>
    <w:p w:rsidR="005B52DF" w:rsidRPr="00B56CD0" w:rsidRDefault="005B52DF" w:rsidP="005B52DF">
      <w:pPr>
        <w:autoSpaceDE w:val="0"/>
        <w:autoSpaceDN w:val="0"/>
        <w:adjustRightInd w:val="0"/>
        <w:ind w:left="851" w:firstLine="567"/>
        <w:jc w:val="both"/>
        <w:rPr>
          <w:bCs/>
          <w:iCs/>
        </w:rPr>
      </w:pPr>
      <w:r w:rsidRPr="00B56CD0">
        <w:rPr>
          <w:iCs/>
        </w:rPr>
        <w:t>-Развитие системы общественного пассажирского транспорта в Волгоградской области (далее – ПП «Общественный транспорт»)</w:t>
      </w:r>
      <w:r w:rsidRPr="00B56CD0">
        <w:rPr>
          <w:bCs/>
          <w:iCs/>
        </w:rPr>
        <w:t>;</w:t>
      </w:r>
    </w:p>
    <w:p w:rsidR="005B52DF" w:rsidRPr="00B56CD0" w:rsidRDefault="005B52DF" w:rsidP="005B52DF">
      <w:pPr>
        <w:autoSpaceDE w:val="0"/>
        <w:autoSpaceDN w:val="0"/>
        <w:adjustRightInd w:val="0"/>
        <w:ind w:left="851" w:firstLine="567"/>
        <w:jc w:val="both"/>
        <w:rPr>
          <w:iCs/>
        </w:rPr>
      </w:pPr>
      <w:r w:rsidRPr="00B56CD0">
        <w:rPr>
          <w:iCs/>
        </w:rPr>
        <w:t>-Совершенствование и развитие сети автомобильных дорог общего пользования Волгоградской области (далее – ПП «Дороги»);</w:t>
      </w:r>
    </w:p>
    <w:p w:rsidR="005B52DF" w:rsidRPr="00B56CD0" w:rsidRDefault="005B52DF" w:rsidP="005B52DF">
      <w:pPr>
        <w:autoSpaceDE w:val="0"/>
        <w:autoSpaceDN w:val="0"/>
        <w:adjustRightInd w:val="0"/>
        <w:ind w:left="851" w:firstLine="567"/>
        <w:jc w:val="both"/>
        <w:rPr>
          <w:bCs/>
          <w:iCs/>
        </w:rPr>
      </w:pPr>
      <w:r w:rsidRPr="00B56CD0">
        <w:rPr>
          <w:iCs/>
        </w:rPr>
        <w:t>-Повышение безопасности дорожного движения в Волгоградской области (далее – ПП «Повышение БДД»</w:t>
      </w:r>
      <w:r w:rsidR="00DC64DD">
        <w:rPr>
          <w:iCs/>
        </w:rPr>
        <w:t>);</w:t>
      </w:r>
    </w:p>
    <w:p w:rsidR="005B52DF" w:rsidRPr="00E922B8" w:rsidRDefault="005B52DF" w:rsidP="005B52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59BE">
        <w:t xml:space="preserve">-Энергосбережение и повышение энергетической эффективности </w:t>
      </w:r>
      <w:r>
        <w:t xml:space="preserve">в Волгоградской области, </w:t>
      </w:r>
      <w:r>
        <w:rPr>
          <w:bCs/>
          <w:iCs/>
        </w:rPr>
        <w:t>у</w:t>
      </w:r>
      <w:r w:rsidRPr="007405A4">
        <w:rPr>
          <w:bCs/>
          <w:iCs/>
        </w:rPr>
        <w:t xml:space="preserve">твержденной постановлением Администрации Волгоградской области от </w:t>
      </w:r>
      <w:r>
        <w:rPr>
          <w:rFonts w:eastAsiaTheme="minorHAnsi"/>
          <w:lang w:eastAsia="en-US"/>
        </w:rPr>
        <w:t>31.12.2014 № 136-п (далее – ГП «Энергосбережение»)</w:t>
      </w:r>
      <w:r>
        <w:rPr>
          <w:bCs/>
          <w:iCs/>
        </w:rPr>
        <w:t>;</w:t>
      </w:r>
    </w:p>
    <w:p w:rsidR="005B52DF" w:rsidRPr="00E659BE" w:rsidRDefault="005B52DF" w:rsidP="005B52DF">
      <w:pPr>
        <w:autoSpaceDE w:val="0"/>
        <w:autoSpaceDN w:val="0"/>
        <w:adjustRightInd w:val="0"/>
        <w:ind w:firstLine="709"/>
        <w:jc w:val="both"/>
      </w:pPr>
      <w:r w:rsidRPr="00E659BE">
        <w:t>-Устойчивое развитие сельских территорий</w:t>
      </w:r>
      <w:r>
        <w:t xml:space="preserve">, </w:t>
      </w:r>
      <w:r>
        <w:rPr>
          <w:bCs/>
          <w:iCs/>
        </w:rPr>
        <w:t>у</w:t>
      </w:r>
      <w:r w:rsidRPr="007405A4">
        <w:rPr>
          <w:bCs/>
          <w:iCs/>
        </w:rPr>
        <w:t xml:space="preserve">твержденной постановлением Администрации Волгоградской области от </w:t>
      </w:r>
      <w:r>
        <w:rPr>
          <w:rFonts w:eastAsiaTheme="minorHAnsi"/>
          <w:lang w:eastAsia="en-US"/>
        </w:rPr>
        <w:t>29.11.2013 № 681-п (далее – ГП «Село»)</w:t>
      </w:r>
      <w:r>
        <w:rPr>
          <w:bCs/>
          <w:iCs/>
        </w:rPr>
        <w:t>.</w:t>
      </w:r>
    </w:p>
    <w:p w:rsidR="00B2059F" w:rsidRPr="0030557E" w:rsidRDefault="00A07918" w:rsidP="00B2059F">
      <w:pPr>
        <w:autoSpaceDE w:val="0"/>
        <w:autoSpaceDN w:val="0"/>
        <w:adjustRightInd w:val="0"/>
        <w:ind w:firstLine="709"/>
        <w:jc w:val="both"/>
      </w:pPr>
      <w:r>
        <w:t>В целом б</w:t>
      </w:r>
      <w:r w:rsidR="00B2059F" w:rsidRPr="0030557E">
        <w:t>юджетные назначения не исполнены на сумму 435 8</w:t>
      </w:r>
      <w:r w:rsidR="00552E6B">
        <w:t>40</w:t>
      </w:r>
      <w:r w:rsidR="00B2059F" w:rsidRPr="0030557E">
        <w:t>,</w:t>
      </w:r>
      <w:r w:rsidR="00552E6B">
        <w:t>0</w:t>
      </w:r>
      <w:r w:rsidR="00B2059F" w:rsidRPr="0030557E">
        <w:t xml:space="preserve"> тыс. руб., или на 3,</w:t>
      </w:r>
      <w:r>
        <w:t>7 </w:t>
      </w:r>
      <w:r w:rsidR="00B2059F" w:rsidRPr="0030557E">
        <w:t>% от утвержденного объема</w:t>
      </w:r>
      <w:r w:rsidR="00792DAE">
        <w:t xml:space="preserve"> (Приложение № 2)</w:t>
      </w:r>
      <w:r w:rsidR="00B2059F" w:rsidRPr="0030557E">
        <w:t>. Основными причинами неисполнения бюджетных назначений явил</w:t>
      </w:r>
      <w:r w:rsidR="00792DAE">
        <w:t>и</w:t>
      </w:r>
      <w:r w:rsidR="00B2059F" w:rsidRPr="0030557E">
        <w:t>сь:</w:t>
      </w:r>
    </w:p>
    <w:p w:rsidR="00B2059F" w:rsidRPr="000A078C" w:rsidRDefault="00B2059F" w:rsidP="00B2059F">
      <w:pPr>
        <w:autoSpaceDE w:val="0"/>
        <w:autoSpaceDN w:val="0"/>
        <w:adjustRightInd w:val="0"/>
        <w:ind w:firstLine="709"/>
        <w:jc w:val="both"/>
      </w:pPr>
      <w:r w:rsidRPr="0030557E">
        <w:t xml:space="preserve">-324 681,6 тыс. руб. </w:t>
      </w:r>
      <w:r>
        <w:t xml:space="preserve">- </w:t>
      </w:r>
      <w:r w:rsidRPr="0030557E">
        <w:t>оплата работ по факту, в том числе</w:t>
      </w:r>
      <w:r>
        <w:t xml:space="preserve"> </w:t>
      </w:r>
      <w:r w:rsidRPr="0030557E">
        <w:t xml:space="preserve">неисполнение обязательств исполнителями </w:t>
      </w:r>
      <w:r w:rsidRPr="000A078C">
        <w:t>проектно-изыскательских работ (139 963,7 тыс. руб.), отсутствие потребности в расходах на завершение строительства</w:t>
      </w:r>
      <w:proofErr w:type="gramStart"/>
      <w:r w:rsidRPr="000A078C">
        <w:t xml:space="preserve"> В</w:t>
      </w:r>
      <w:proofErr w:type="gramEnd"/>
      <w:r w:rsidRPr="000A078C">
        <w:t>торого пускового комплекса (115 188,2 тыс. руб.), невыполнение исполнителями работ в установленные сроки</w:t>
      </w:r>
      <w:r w:rsidR="00E3713C">
        <w:t xml:space="preserve"> (69 529,7 тыс. руб.)</w:t>
      </w:r>
      <w:r w:rsidRPr="000A078C">
        <w:t>;</w:t>
      </w:r>
    </w:p>
    <w:p w:rsidR="00B2059F" w:rsidRPr="0030557E" w:rsidRDefault="00B2059F" w:rsidP="00B2059F">
      <w:pPr>
        <w:autoSpaceDE w:val="0"/>
        <w:autoSpaceDN w:val="0"/>
        <w:adjustRightInd w:val="0"/>
        <w:ind w:firstLine="709"/>
        <w:jc w:val="both"/>
      </w:pPr>
      <w:r w:rsidRPr="000A078C">
        <w:t>-42 795,5 тыс. руб. - отсутствие потребности (по отдельным видам субсидий)</w:t>
      </w:r>
      <w:r w:rsidR="000A078C" w:rsidRPr="000A078C">
        <w:t xml:space="preserve"> в связи с невыполнением перевозчиками запланированных</w:t>
      </w:r>
      <w:r w:rsidR="000A078C">
        <w:t xml:space="preserve"> объёмов транспортной работы по причине неисправности транспортных средств и погодных условий</w:t>
      </w:r>
      <w:r w:rsidRPr="0030557E">
        <w:t>;</w:t>
      </w:r>
    </w:p>
    <w:p w:rsidR="00B2059F" w:rsidRPr="0030557E" w:rsidRDefault="00B2059F" w:rsidP="00B2059F">
      <w:pPr>
        <w:autoSpaceDE w:val="0"/>
        <w:autoSpaceDN w:val="0"/>
        <w:adjustRightInd w:val="0"/>
        <w:ind w:firstLine="709"/>
        <w:jc w:val="both"/>
      </w:pPr>
      <w:r w:rsidRPr="0030557E">
        <w:t xml:space="preserve">-40 919,5 тыс. руб. </w:t>
      </w:r>
      <w:r>
        <w:t>-</w:t>
      </w:r>
      <w:r w:rsidRPr="0030557E">
        <w:t xml:space="preserve"> доведение лимитов бюджетных обязательств меньше объема ассигнований;</w:t>
      </w:r>
    </w:p>
    <w:p w:rsidR="00B2059F" w:rsidRPr="0030557E" w:rsidRDefault="00B2059F" w:rsidP="00B2059F">
      <w:pPr>
        <w:autoSpaceDE w:val="0"/>
        <w:autoSpaceDN w:val="0"/>
        <w:adjustRightInd w:val="0"/>
        <w:ind w:firstLine="709"/>
        <w:jc w:val="both"/>
      </w:pPr>
      <w:r w:rsidRPr="0030557E">
        <w:t xml:space="preserve">-27 344,3 тыс. руб. </w:t>
      </w:r>
      <w:r>
        <w:t>-</w:t>
      </w:r>
      <w:r w:rsidRPr="0030557E">
        <w:t xml:space="preserve"> экономия по результатам торгов.</w:t>
      </w:r>
    </w:p>
    <w:p w:rsidR="00F9483A" w:rsidRDefault="00F9483A" w:rsidP="00890A59">
      <w:pPr>
        <w:jc w:val="center"/>
        <w:rPr>
          <w:b/>
          <w:i/>
          <w:szCs w:val="18"/>
        </w:rPr>
      </w:pPr>
    </w:p>
    <w:p w:rsidR="00890A59" w:rsidRPr="00C27898" w:rsidRDefault="00890A59" w:rsidP="00890A59">
      <w:pPr>
        <w:jc w:val="center"/>
        <w:rPr>
          <w:b/>
          <w:i/>
          <w:szCs w:val="18"/>
        </w:rPr>
      </w:pPr>
      <w:r w:rsidRPr="00C27898">
        <w:rPr>
          <w:b/>
          <w:i/>
          <w:szCs w:val="18"/>
        </w:rPr>
        <w:t xml:space="preserve">Сравнительный анализ показателей исполнения </w:t>
      </w:r>
    </w:p>
    <w:p w:rsidR="00890A59" w:rsidRPr="00312836" w:rsidRDefault="00890A59" w:rsidP="00890A59">
      <w:pPr>
        <w:jc w:val="center"/>
        <w:rPr>
          <w:b/>
          <w:i/>
          <w:szCs w:val="18"/>
          <w:highlight w:val="yellow"/>
        </w:rPr>
      </w:pPr>
      <w:r w:rsidRPr="00C27898">
        <w:rPr>
          <w:b/>
          <w:i/>
          <w:szCs w:val="18"/>
        </w:rPr>
        <w:t>расходов областного бюджета за отчетный год и предыдущий год</w:t>
      </w:r>
    </w:p>
    <w:p w:rsidR="00A21550" w:rsidRDefault="00A21550" w:rsidP="00A21550">
      <w:pPr>
        <w:tabs>
          <w:tab w:val="left" w:pos="0"/>
        </w:tabs>
        <w:ind w:firstLine="709"/>
        <w:rPr>
          <w:szCs w:val="18"/>
        </w:rPr>
      </w:pPr>
      <w:r w:rsidRPr="00C27898">
        <w:rPr>
          <w:szCs w:val="18"/>
        </w:rPr>
        <w:t xml:space="preserve">Анализ показателей исполнения </w:t>
      </w:r>
      <w:r w:rsidR="00A8077E">
        <w:rPr>
          <w:szCs w:val="18"/>
        </w:rPr>
        <w:t>Комитетом</w:t>
      </w:r>
      <w:r w:rsidR="00A8077E" w:rsidRPr="00C27898">
        <w:rPr>
          <w:szCs w:val="18"/>
        </w:rPr>
        <w:t xml:space="preserve"> </w:t>
      </w:r>
      <w:r w:rsidRPr="00C27898">
        <w:rPr>
          <w:szCs w:val="18"/>
        </w:rPr>
        <w:t>расходов за 201</w:t>
      </w:r>
      <w:r>
        <w:rPr>
          <w:szCs w:val="18"/>
        </w:rPr>
        <w:t>9</w:t>
      </w:r>
      <w:r w:rsidRPr="00C27898">
        <w:rPr>
          <w:szCs w:val="18"/>
        </w:rPr>
        <w:t xml:space="preserve"> год в сравнении с 201</w:t>
      </w:r>
      <w:r>
        <w:rPr>
          <w:szCs w:val="18"/>
        </w:rPr>
        <w:t>8</w:t>
      </w:r>
      <w:r w:rsidRPr="00C27898">
        <w:rPr>
          <w:szCs w:val="18"/>
        </w:rPr>
        <w:t xml:space="preserve"> годом привед</w:t>
      </w:r>
      <w:r w:rsidR="00A8077E">
        <w:rPr>
          <w:szCs w:val="18"/>
        </w:rPr>
        <w:t>ё</w:t>
      </w:r>
      <w:r w:rsidRPr="00C27898">
        <w:rPr>
          <w:szCs w:val="18"/>
        </w:rPr>
        <w:t>н в таблице.</w:t>
      </w:r>
    </w:p>
    <w:p w:rsidR="00841EF9" w:rsidRPr="006E44B7" w:rsidRDefault="00841EF9" w:rsidP="00841EF9">
      <w:pPr>
        <w:ind w:firstLine="708"/>
        <w:jc w:val="right"/>
        <w:rPr>
          <w:i/>
          <w:sz w:val="20"/>
          <w:szCs w:val="20"/>
        </w:rPr>
      </w:pPr>
      <w:r w:rsidRPr="006E44B7">
        <w:rPr>
          <w:i/>
          <w:sz w:val="20"/>
          <w:szCs w:val="20"/>
        </w:rPr>
        <w:t>тыс. руб.</w:t>
      </w:r>
    </w:p>
    <w:tbl>
      <w:tblPr>
        <w:tblW w:w="9652" w:type="dxa"/>
        <w:tblInd w:w="95" w:type="dxa"/>
        <w:tblLayout w:type="fixed"/>
        <w:tblLook w:val="04A0"/>
      </w:tblPr>
      <w:tblGrid>
        <w:gridCol w:w="732"/>
        <w:gridCol w:w="3411"/>
        <w:gridCol w:w="1559"/>
        <w:gridCol w:w="1418"/>
        <w:gridCol w:w="1417"/>
        <w:gridCol w:w="1115"/>
      </w:tblGrid>
      <w:tr w:rsidR="00841EF9" w:rsidRPr="006C3806" w:rsidTr="00B32CA6">
        <w:trPr>
          <w:trHeight w:val="300"/>
          <w:tblHeader/>
        </w:trPr>
        <w:tc>
          <w:tcPr>
            <w:tcW w:w="73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EF9" w:rsidRPr="00557F01" w:rsidRDefault="00841EF9" w:rsidP="005C5E9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34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EF9" w:rsidRPr="00557F01" w:rsidRDefault="00841EF9" w:rsidP="005C5E9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EF9" w:rsidRPr="00331BB3" w:rsidRDefault="00841EF9" w:rsidP="00EE77C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31BB3">
              <w:rPr>
                <w:b/>
                <w:bCs/>
                <w:sz w:val="20"/>
                <w:szCs w:val="20"/>
              </w:rPr>
              <w:t>201</w:t>
            </w:r>
            <w:r w:rsidR="00A2155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EF9" w:rsidRPr="00331BB3" w:rsidRDefault="00841EF9" w:rsidP="00EE77C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31BB3">
              <w:rPr>
                <w:b/>
                <w:bCs/>
                <w:sz w:val="20"/>
                <w:szCs w:val="20"/>
              </w:rPr>
              <w:t>201</w:t>
            </w:r>
            <w:r w:rsidR="00A21550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5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EF9" w:rsidRPr="00557F01" w:rsidRDefault="00841EF9" w:rsidP="005C5E9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841EF9" w:rsidRPr="006C3806" w:rsidTr="00B32CA6">
        <w:trPr>
          <w:trHeight w:val="300"/>
          <w:tblHeader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EF9" w:rsidRPr="00557F01" w:rsidRDefault="00841EF9" w:rsidP="005C5E9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EF9" w:rsidRPr="00557F01" w:rsidRDefault="00841EF9" w:rsidP="005C5E9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EF9" w:rsidRPr="00557F01" w:rsidRDefault="00841EF9" w:rsidP="005C5E9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EF9" w:rsidRPr="00557F01" w:rsidRDefault="00841EF9" w:rsidP="005C5E9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EF9" w:rsidRPr="00331BB3" w:rsidRDefault="00E319F2" w:rsidP="005C5E9A">
            <w:pPr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EF9" w:rsidRPr="00557F01" w:rsidRDefault="00841EF9" w:rsidP="005C5E9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C0185" w:rsidRPr="00A27471" w:rsidTr="00E319F2">
        <w:trPr>
          <w:trHeight w:val="44"/>
        </w:trPr>
        <w:tc>
          <w:tcPr>
            <w:tcW w:w="41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185" w:rsidRPr="00A27471" w:rsidRDefault="00CC0185" w:rsidP="00CC0185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7471">
              <w:rPr>
                <w:b/>
                <w:bCs/>
                <w:color w:val="000000"/>
                <w:sz w:val="18"/>
                <w:szCs w:val="18"/>
              </w:rPr>
              <w:t>Расходы бюджета – всего: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85" w:rsidRPr="005805C2" w:rsidRDefault="00CC0185" w:rsidP="00CC0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8 993 100,0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85" w:rsidRPr="005805C2" w:rsidRDefault="00CC0185" w:rsidP="00CC0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11 198 846,9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85" w:rsidRPr="005805C2" w:rsidRDefault="00FE40CE" w:rsidP="00CC0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2 205 746,9</w:t>
            </w:r>
          </w:p>
        </w:tc>
        <w:tc>
          <w:tcPr>
            <w:tcW w:w="11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C0185" w:rsidRPr="005805C2" w:rsidRDefault="0029257B" w:rsidP="00CC01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24,5</w:t>
            </w:r>
          </w:p>
        </w:tc>
      </w:tr>
      <w:tr w:rsidR="00F71889" w:rsidRPr="00A27471" w:rsidTr="00E319F2">
        <w:trPr>
          <w:trHeight w:val="123"/>
        </w:trPr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89" w:rsidRPr="00687AC6" w:rsidRDefault="00F71889" w:rsidP="00F71889">
            <w:pPr>
              <w:ind w:left="-57" w:right="-57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34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1889" w:rsidRPr="00EE77C2" w:rsidRDefault="00F71889" w:rsidP="00F71889">
            <w:pPr>
              <w:rPr>
                <w:b/>
                <w:bCs/>
                <w:i/>
                <w:sz w:val="16"/>
                <w:szCs w:val="16"/>
              </w:rPr>
            </w:pPr>
            <w:r w:rsidRPr="00EE77C2">
              <w:rPr>
                <w:b/>
                <w:bCs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71889" w:rsidRDefault="00F71889" w:rsidP="00F718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29</w:t>
            </w:r>
            <w:r w:rsidR="00A8077E">
              <w:rPr>
                <w:b/>
                <w:i/>
                <w:color w:val="000000"/>
                <w:sz w:val="20"/>
                <w:szCs w:val="20"/>
              </w:rPr>
              <w:t> </w:t>
            </w:r>
            <w:r>
              <w:rPr>
                <w:b/>
                <w:i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1889" w:rsidRDefault="00F71889" w:rsidP="00F718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175 008,0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1889" w:rsidRDefault="002649E5" w:rsidP="00F718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145 676,7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71889" w:rsidRDefault="00564915" w:rsidP="00F718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 6 раз</w:t>
            </w:r>
          </w:p>
        </w:tc>
      </w:tr>
      <w:tr w:rsidR="00564915" w:rsidRPr="00A27471" w:rsidTr="00E319F2">
        <w:trPr>
          <w:trHeight w:val="123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5" w:rsidRPr="00687AC6" w:rsidRDefault="00564915" w:rsidP="00564915">
            <w:pPr>
              <w:ind w:left="-57" w:right="-57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687AC6">
              <w:rPr>
                <w:b/>
                <w:i/>
                <w:sz w:val="18"/>
                <w:szCs w:val="18"/>
              </w:rPr>
              <w:t>0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687AC6">
              <w:rPr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915" w:rsidRPr="00687AC6" w:rsidRDefault="00564915" w:rsidP="00564915">
            <w:pPr>
              <w:contextualSpacing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4915" w:rsidRPr="000B0671" w:rsidRDefault="00564915" w:rsidP="0056491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8 963 768,7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915" w:rsidRPr="000B0671" w:rsidRDefault="00564915" w:rsidP="0056491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11 023 838,9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915" w:rsidRPr="00381BD7" w:rsidRDefault="00FE40CE" w:rsidP="0056491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2 060 070,2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64915" w:rsidRPr="00C94722" w:rsidRDefault="00FE40CE" w:rsidP="0056491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23,0</w:t>
            </w:r>
          </w:p>
        </w:tc>
      </w:tr>
      <w:tr w:rsidR="00564915" w:rsidRPr="00A27471" w:rsidTr="00E319F2">
        <w:trPr>
          <w:trHeight w:val="222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5" w:rsidRPr="00755239" w:rsidRDefault="00564915" w:rsidP="00564915">
            <w:pPr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75523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408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915" w:rsidRPr="00755239" w:rsidRDefault="00564915" w:rsidP="00564915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4915" w:rsidRPr="00286EE9" w:rsidRDefault="00564915" w:rsidP="0056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1 319 378,7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915" w:rsidRPr="00286EE9" w:rsidRDefault="00564915" w:rsidP="0056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1 220 037,0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915" w:rsidRPr="00286EE9" w:rsidRDefault="00104B73" w:rsidP="0056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-99 341,7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64915" w:rsidRPr="00286EE9" w:rsidRDefault="00104B73" w:rsidP="0056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-7,5</w:t>
            </w:r>
          </w:p>
        </w:tc>
      </w:tr>
      <w:tr w:rsidR="00564915" w:rsidRPr="00A27471" w:rsidTr="00E319F2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4915" w:rsidRPr="000B0671" w:rsidRDefault="00564915" w:rsidP="00564915">
            <w:pPr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0B0671">
              <w:rPr>
                <w:sz w:val="18"/>
                <w:szCs w:val="18"/>
              </w:rPr>
              <w:t>0409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915" w:rsidRPr="000B0671" w:rsidRDefault="00564915" w:rsidP="00564915">
            <w:pPr>
              <w:contextualSpacing/>
              <w:rPr>
                <w:color w:val="000000"/>
                <w:sz w:val="18"/>
                <w:szCs w:val="18"/>
              </w:rPr>
            </w:pPr>
            <w:r w:rsidRPr="000B0671">
              <w:rPr>
                <w:color w:val="000000"/>
                <w:sz w:val="18"/>
                <w:szCs w:val="18"/>
              </w:rPr>
              <w:t>Дорожное хозяйство</w:t>
            </w:r>
            <w:r>
              <w:rPr>
                <w:color w:val="000000"/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4915" w:rsidRPr="00286EE9" w:rsidRDefault="00564915" w:rsidP="0056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7 644 390,0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915" w:rsidRPr="00286EE9" w:rsidRDefault="00564915" w:rsidP="0056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9 803 801,9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915" w:rsidRPr="00286EE9" w:rsidRDefault="00564915" w:rsidP="0056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2 159 411,9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64915" w:rsidRPr="00286EE9" w:rsidRDefault="00104B73" w:rsidP="0056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</w:tbl>
    <w:p w:rsidR="008A74D9" w:rsidRDefault="008A74D9" w:rsidP="00841EF9">
      <w:pPr>
        <w:ind w:firstLine="708"/>
        <w:jc w:val="both"/>
      </w:pPr>
    </w:p>
    <w:p w:rsidR="00A016F0" w:rsidRPr="00A016F0" w:rsidRDefault="00972041" w:rsidP="00841EF9">
      <w:pPr>
        <w:ind w:firstLine="708"/>
        <w:jc w:val="both"/>
      </w:pPr>
      <w:r w:rsidRPr="00EB54E1">
        <w:t xml:space="preserve">Расходы </w:t>
      </w:r>
      <w:r w:rsidRPr="00A016F0">
        <w:t>Комитета в 201</w:t>
      </w:r>
      <w:r w:rsidR="00F577EF" w:rsidRPr="00A016F0">
        <w:t>9</w:t>
      </w:r>
      <w:r w:rsidRPr="00A016F0">
        <w:t xml:space="preserve"> году у</w:t>
      </w:r>
      <w:r w:rsidR="00F577EF" w:rsidRPr="00A016F0">
        <w:t>величи</w:t>
      </w:r>
      <w:r w:rsidR="005C5E9A" w:rsidRPr="00A016F0">
        <w:t>лись</w:t>
      </w:r>
      <w:r w:rsidRPr="00A016F0">
        <w:t xml:space="preserve"> по сравнению с 201</w:t>
      </w:r>
      <w:r w:rsidR="00F577EF" w:rsidRPr="00A016F0">
        <w:t>8</w:t>
      </w:r>
      <w:r w:rsidRPr="00A016F0">
        <w:t xml:space="preserve"> годом на </w:t>
      </w:r>
      <w:r w:rsidR="0029257B" w:rsidRPr="00A016F0">
        <w:t>2</w:t>
      </w:r>
      <w:r w:rsidR="00383E01" w:rsidRPr="00A016F0">
        <w:t> </w:t>
      </w:r>
      <w:r w:rsidR="0029257B" w:rsidRPr="00A016F0">
        <w:t>205 746,9</w:t>
      </w:r>
      <w:r w:rsidRPr="00A016F0">
        <w:t xml:space="preserve"> тыс. руб., или на </w:t>
      </w:r>
      <w:r w:rsidR="0029257B" w:rsidRPr="00A016F0">
        <w:t>24,5</w:t>
      </w:r>
      <w:r w:rsidR="004E3304" w:rsidRPr="00A016F0">
        <w:t>%</w:t>
      </w:r>
      <w:r w:rsidRPr="00A016F0">
        <w:t xml:space="preserve"> за счет</w:t>
      </w:r>
      <w:r w:rsidR="00A016F0" w:rsidRPr="00A016F0">
        <w:t>:</w:t>
      </w:r>
    </w:p>
    <w:p w:rsidR="00A016F0" w:rsidRPr="00A016F0" w:rsidRDefault="00A016F0" w:rsidP="00841EF9">
      <w:pPr>
        <w:ind w:firstLine="708"/>
        <w:jc w:val="both"/>
        <w:rPr>
          <w:bCs/>
        </w:rPr>
      </w:pPr>
      <w:r w:rsidRPr="00A016F0">
        <w:rPr>
          <w:bCs/>
        </w:rPr>
        <w:t>-увеличения расходов на ремонт здания по адресу: проспект Жукова, 90, предназначенного для размещения Комитета и подведомственных ему учреждений;</w:t>
      </w:r>
    </w:p>
    <w:p w:rsidR="00A016F0" w:rsidRPr="00A016F0" w:rsidRDefault="00A016F0" w:rsidP="00841EF9">
      <w:pPr>
        <w:ind w:firstLine="708"/>
        <w:jc w:val="both"/>
      </w:pPr>
      <w:r w:rsidRPr="00A016F0">
        <w:rPr>
          <w:bCs/>
        </w:rPr>
        <w:t xml:space="preserve">-уменьшения расходов на поддержку общественного транспорта в связи с </w:t>
      </w:r>
      <w:r w:rsidR="007A6687">
        <w:rPr>
          <w:bCs/>
        </w:rPr>
        <w:t xml:space="preserve">завершением одного контракта на лизинг </w:t>
      </w:r>
      <w:r w:rsidR="007A6687" w:rsidRPr="007A6687">
        <w:rPr>
          <w:bCs/>
        </w:rPr>
        <w:t>автобусов</w:t>
      </w:r>
      <w:r w:rsidRPr="007A6687">
        <w:rPr>
          <w:bCs/>
        </w:rPr>
        <w:t>;</w:t>
      </w:r>
    </w:p>
    <w:p w:rsidR="00B60F78" w:rsidRDefault="00A016F0" w:rsidP="00841EF9">
      <w:pPr>
        <w:ind w:firstLine="708"/>
        <w:jc w:val="both"/>
      </w:pPr>
      <w:r w:rsidRPr="00A016F0">
        <w:t>-</w:t>
      </w:r>
      <w:r w:rsidR="007B33E6" w:rsidRPr="00A016F0">
        <w:t xml:space="preserve">увеличения </w:t>
      </w:r>
      <w:r w:rsidR="00EB54E1" w:rsidRPr="00A016F0">
        <w:t>расходов</w:t>
      </w:r>
      <w:r w:rsidR="00EB54E1" w:rsidRPr="007B33E6">
        <w:t xml:space="preserve"> </w:t>
      </w:r>
      <w:r w:rsidR="008A685E" w:rsidRPr="007B33E6">
        <w:t xml:space="preserve">на </w:t>
      </w:r>
      <w:r w:rsidR="00BC0C88">
        <w:t xml:space="preserve">обеспечение дорожной деятельности, </w:t>
      </w:r>
      <w:r w:rsidR="00B60F78">
        <w:t>в том числе н</w:t>
      </w:r>
      <w:r w:rsidR="00BC0C88">
        <w:t xml:space="preserve">а </w:t>
      </w:r>
      <w:r w:rsidR="00B60F78">
        <w:t xml:space="preserve">содержание, ремонт, строительство и реконструкцию </w:t>
      </w:r>
      <w:r w:rsidR="00B24B37">
        <w:t>автомобильных дорог регионального и межмуниципаль</w:t>
      </w:r>
      <w:r>
        <w:t xml:space="preserve">ного, а также местного значения, </w:t>
      </w:r>
      <w:r w:rsidR="0049562F">
        <w:t xml:space="preserve">в </w:t>
      </w:r>
      <w:r w:rsidR="0049562F" w:rsidRPr="007A6687">
        <w:t xml:space="preserve">основном, </w:t>
      </w:r>
      <w:r w:rsidRPr="007A6687">
        <w:t>в связи с увеличением объёмов финансовой поддержки из федерального бюджета</w:t>
      </w:r>
      <w:r w:rsidR="0049562F" w:rsidRPr="007A6687">
        <w:t xml:space="preserve"> (в 2018 году – 2 035,4 млн. руб., в 2019 году – 3 889,9 млн. руб.)</w:t>
      </w:r>
      <w:r w:rsidRPr="007A6687">
        <w:t>.</w:t>
      </w:r>
    </w:p>
    <w:p w:rsidR="000A078C" w:rsidRDefault="000A078C" w:rsidP="00841EF9">
      <w:pPr>
        <w:ind w:firstLine="708"/>
        <w:jc w:val="both"/>
      </w:pPr>
    </w:p>
    <w:p w:rsidR="00972041" w:rsidRPr="00A016F0" w:rsidRDefault="00972041" w:rsidP="00972041">
      <w:pPr>
        <w:ind w:firstLine="709"/>
        <w:jc w:val="center"/>
        <w:rPr>
          <w:b/>
          <w:i/>
        </w:rPr>
      </w:pPr>
      <w:r w:rsidRPr="00A016F0">
        <w:rPr>
          <w:b/>
          <w:i/>
        </w:rPr>
        <w:lastRenderedPageBreak/>
        <w:t>ГБУ «</w:t>
      </w:r>
      <w:proofErr w:type="spellStart"/>
      <w:r w:rsidRPr="00A016F0">
        <w:rPr>
          <w:b/>
          <w:i/>
        </w:rPr>
        <w:t>Волгоградавтодо</w:t>
      </w:r>
      <w:r w:rsidR="004A66D8" w:rsidRPr="00A016F0">
        <w:rPr>
          <w:b/>
          <w:i/>
        </w:rPr>
        <w:t>р</w:t>
      </w:r>
      <w:proofErr w:type="spellEnd"/>
      <w:r w:rsidR="004A66D8" w:rsidRPr="00A016F0">
        <w:rPr>
          <w:b/>
          <w:i/>
        </w:rPr>
        <w:t xml:space="preserve">» </w:t>
      </w:r>
    </w:p>
    <w:p w:rsidR="00450976" w:rsidRPr="008B654D" w:rsidRDefault="00450976" w:rsidP="00450976">
      <w:pPr>
        <w:ind w:firstLine="709"/>
        <w:jc w:val="both"/>
      </w:pPr>
      <w:proofErr w:type="gramStart"/>
      <w:r w:rsidRPr="008B654D">
        <w:t>В 201</w:t>
      </w:r>
      <w:r>
        <w:t>9</w:t>
      </w:r>
      <w:r w:rsidRPr="008B654D">
        <w:t xml:space="preserve"> году ГБУ «</w:t>
      </w:r>
      <w:proofErr w:type="spellStart"/>
      <w:r w:rsidRPr="008B654D">
        <w:t>Волгоградавтодор</w:t>
      </w:r>
      <w:proofErr w:type="spellEnd"/>
      <w:r w:rsidRPr="008B654D">
        <w:t xml:space="preserve">» предоставлены субсидии в размере </w:t>
      </w:r>
      <w:r>
        <w:t>2 153 755,2</w:t>
      </w:r>
      <w:r w:rsidRPr="008B654D">
        <w:t xml:space="preserve"> тыс. руб.</w:t>
      </w:r>
      <w:r>
        <w:t>, в т.ч</w:t>
      </w:r>
      <w:r w:rsidRPr="00E9173A">
        <w:t>. 1 695 688,7</w:t>
      </w:r>
      <w:r>
        <w:t xml:space="preserve"> тыс. руб., или 78,7% - субсидии на выполнение гос</w:t>
      </w:r>
      <w:r w:rsidR="001A64F8">
        <w:t xml:space="preserve">ударственного </w:t>
      </w:r>
      <w:r>
        <w:t>задания, с учетом остатков субсидий за 2018 год</w:t>
      </w:r>
      <w:r w:rsidR="00A07918">
        <w:t>,</w:t>
      </w:r>
      <w:r>
        <w:t xml:space="preserve"> по которым Комитетом было принято решение о</w:t>
      </w:r>
      <w:r w:rsidR="0037599D">
        <w:t>б</w:t>
      </w:r>
      <w:r>
        <w:t xml:space="preserve"> использовании их на те же цели в 2019 году.</w:t>
      </w:r>
      <w:proofErr w:type="gramEnd"/>
    </w:p>
    <w:p w:rsidR="00972041" w:rsidRPr="00D256CD" w:rsidRDefault="00F55006" w:rsidP="00972041">
      <w:pPr>
        <w:ind w:firstLine="709"/>
        <w:jc w:val="both"/>
      </w:pPr>
      <w:r w:rsidRPr="00D256CD">
        <w:t>Г</w:t>
      </w:r>
      <w:r w:rsidR="00972041" w:rsidRPr="00D256CD">
        <w:t xml:space="preserve">осударственное задание </w:t>
      </w:r>
      <w:r w:rsidRPr="00D256CD">
        <w:t>на 201</w:t>
      </w:r>
      <w:r w:rsidR="000D6FBA" w:rsidRPr="00D256CD">
        <w:t>9</w:t>
      </w:r>
      <w:r w:rsidRPr="00D256CD">
        <w:t xml:space="preserve"> год </w:t>
      </w:r>
      <w:r w:rsidR="00972041" w:rsidRPr="00D256CD">
        <w:t>содер</w:t>
      </w:r>
      <w:r w:rsidR="001C6C58">
        <w:t>ж</w:t>
      </w:r>
      <w:r w:rsidR="00A016F0">
        <w:t>ало</w:t>
      </w:r>
      <w:r w:rsidR="00972041" w:rsidRPr="00D256CD">
        <w:t xml:space="preserve"> </w:t>
      </w:r>
      <w:r w:rsidR="00104044" w:rsidRPr="00D256CD">
        <w:t>5</w:t>
      </w:r>
      <w:r w:rsidR="00972041" w:rsidRPr="00D256CD">
        <w:t xml:space="preserve"> показател</w:t>
      </w:r>
      <w:r w:rsidR="00104044" w:rsidRPr="00D256CD">
        <w:t>ей</w:t>
      </w:r>
      <w:r w:rsidR="00972041" w:rsidRPr="00D256CD">
        <w:t xml:space="preserve"> объема работ:</w:t>
      </w:r>
    </w:p>
    <w:p w:rsidR="00972041" w:rsidRPr="00D256CD" w:rsidRDefault="00972041" w:rsidP="00972041">
      <w:pPr>
        <w:ind w:firstLine="709"/>
        <w:jc w:val="both"/>
      </w:pPr>
      <w:r w:rsidRPr="00D256CD">
        <w:t>-</w:t>
      </w:r>
      <w:r w:rsidR="00F55006" w:rsidRPr="00D256CD">
        <w:t xml:space="preserve">организация </w:t>
      </w:r>
      <w:r w:rsidRPr="00D256CD">
        <w:t>содержани</w:t>
      </w:r>
      <w:r w:rsidR="00F55006" w:rsidRPr="00D256CD">
        <w:t>я</w:t>
      </w:r>
      <w:r w:rsidR="0037599D">
        <w:t xml:space="preserve"> </w:t>
      </w:r>
      <w:r w:rsidR="00F55006" w:rsidRPr="00D256CD">
        <w:t xml:space="preserve">закрепленных </w:t>
      </w:r>
      <w:r w:rsidRPr="00D256CD">
        <w:t xml:space="preserve">автомобильных дорог общего пользования </w:t>
      </w:r>
      <w:r w:rsidR="00F55006" w:rsidRPr="00D256CD">
        <w:t xml:space="preserve">и искусственных </w:t>
      </w:r>
      <w:r w:rsidR="005D575C" w:rsidRPr="00D256CD">
        <w:t xml:space="preserve">дорожных </w:t>
      </w:r>
      <w:r w:rsidR="00F55006" w:rsidRPr="00D256CD">
        <w:t xml:space="preserve">сооружений в их составе </w:t>
      </w:r>
      <w:r w:rsidRPr="00D256CD">
        <w:t>– 5</w:t>
      </w:r>
      <w:r w:rsidR="005D575C" w:rsidRPr="00D256CD">
        <w:t> </w:t>
      </w:r>
      <w:r w:rsidRPr="00D256CD">
        <w:t>6</w:t>
      </w:r>
      <w:r w:rsidR="00104044" w:rsidRPr="00D256CD">
        <w:t>2</w:t>
      </w:r>
      <w:r w:rsidR="005D575C" w:rsidRPr="00D256CD">
        <w:t>9,</w:t>
      </w:r>
      <w:r w:rsidR="00104044" w:rsidRPr="00D256CD">
        <w:t>95</w:t>
      </w:r>
      <w:r w:rsidRPr="00D256CD">
        <w:t>км;</w:t>
      </w:r>
    </w:p>
    <w:p w:rsidR="00AD6B97" w:rsidRPr="00D256CD" w:rsidRDefault="00AD6B97" w:rsidP="00972041">
      <w:pPr>
        <w:ind w:firstLine="709"/>
        <w:jc w:val="both"/>
      </w:pPr>
      <w:r w:rsidRPr="00D256CD">
        <w:t>-</w:t>
      </w:r>
      <w:r w:rsidR="005F4EC9" w:rsidRPr="00D256CD">
        <w:t xml:space="preserve">проектные работы по ремонту </w:t>
      </w:r>
      <w:r w:rsidR="00851BCD" w:rsidRPr="00D256CD">
        <w:t>автомобильных дорог – 427,1185 км;</w:t>
      </w:r>
    </w:p>
    <w:p w:rsidR="000B2674" w:rsidRPr="00D256CD" w:rsidRDefault="00851BCD" w:rsidP="000B2674">
      <w:pPr>
        <w:ind w:firstLine="709"/>
        <w:jc w:val="both"/>
      </w:pPr>
      <w:r w:rsidRPr="00D256CD">
        <w:t>-проектные работы п</w:t>
      </w:r>
      <w:r w:rsidR="000B2674" w:rsidRPr="00D256CD">
        <w:t>ри содержании автомобильных дорог – 20,171 км;</w:t>
      </w:r>
    </w:p>
    <w:p w:rsidR="00972041" w:rsidRPr="00D256CD" w:rsidRDefault="00972041" w:rsidP="00972041">
      <w:pPr>
        <w:ind w:firstLine="709"/>
        <w:jc w:val="both"/>
      </w:pPr>
      <w:r w:rsidRPr="00D256CD">
        <w:t>-</w:t>
      </w:r>
      <w:r w:rsidR="005D575C" w:rsidRPr="00D256CD">
        <w:t xml:space="preserve">организация </w:t>
      </w:r>
      <w:r w:rsidRPr="00D256CD">
        <w:t>ремонт</w:t>
      </w:r>
      <w:r w:rsidR="005D575C" w:rsidRPr="00D256CD">
        <w:t>а</w:t>
      </w:r>
      <w:r w:rsidR="0037599D">
        <w:t xml:space="preserve"> </w:t>
      </w:r>
      <w:r w:rsidR="005D575C" w:rsidRPr="00D256CD">
        <w:t xml:space="preserve">закрепленных автомобильных дорог общего пользования и искусственных дорожных сооружений в их составе </w:t>
      </w:r>
      <w:r w:rsidRPr="00D256CD">
        <w:t xml:space="preserve">– </w:t>
      </w:r>
      <w:r w:rsidR="00AD6B97" w:rsidRPr="00D256CD">
        <w:t>25</w:t>
      </w:r>
      <w:r w:rsidRPr="00D256CD">
        <w:t>,</w:t>
      </w:r>
      <w:r w:rsidR="005D575C" w:rsidRPr="00D256CD">
        <w:t>68</w:t>
      </w:r>
      <w:r w:rsidR="00AD6B97" w:rsidRPr="00D256CD">
        <w:t>85</w:t>
      </w:r>
      <w:r w:rsidR="00261F16" w:rsidRPr="00D256CD">
        <w:t xml:space="preserve"> км;</w:t>
      </w:r>
    </w:p>
    <w:p w:rsidR="00261F16" w:rsidRPr="005F4EC9" w:rsidRDefault="00261F16" w:rsidP="00972041">
      <w:pPr>
        <w:ind w:firstLine="709"/>
        <w:jc w:val="both"/>
        <w:rPr>
          <w:rFonts w:eastAsiaTheme="minorHAnsi"/>
          <w:bCs/>
          <w:lang w:eastAsia="en-US"/>
        </w:rPr>
      </w:pPr>
      <w:r w:rsidRPr="00D256CD">
        <w:t>-</w:t>
      </w:r>
      <w:r w:rsidRPr="00D256CD">
        <w:rPr>
          <w:rFonts w:eastAsiaTheme="minorHAnsi"/>
          <w:bCs/>
          <w:lang w:eastAsia="en-US"/>
        </w:rPr>
        <w:t xml:space="preserve">взвешивание транспортных средств, осуществляющих перевозки тяжеловесных грузов при осуществлении </w:t>
      </w:r>
      <w:r w:rsidR="005D575C" w:rsidRPr="00D256CD">
        <w:rPr>
          <w:rFonts w:eastAsiaTheme="minorHAnsi"/>
          <w:bCs/>
          <w:lang w:eastAsia="en-US"/>
        </w:rPr>
        <w:t xml:space="preserve">весового </w:t>
      </w:r>
      <w:r w:rsidRPr="00D256CD">
        <w:rPr>
          <w:rFonts w:eastAsiaTheme="minorHAnsi"/>
          <w:bCs/>
          <w:lang w:eastAsia="en-US"/>
        </w:rPr>
        <w:t xml:space="preserve">контроля </w:t>
      </w:r>
      <w:r w:rsidR="005D575C" w:rsidRPr="00D256CD">
        <w:rPr>
          <w:rFonts w:eastAsiaTheme="minorHAnsi"/>
          <w:bCs/>
          <w:lang w:eastAsia="en-US"/>
        </w:rPr>
        <w:t xml:space="preserve">на автомобильных дорогах общего </w:t>
      </w:r>
      <w:r w:rsidR="00960AD9" w:rsidRPr="00D256CD">
        <w:rPr>
          <w:rFonts w:eastAsiaTheme="minorHAnsi"/>
          <w:bCs/>
          <w:lang w:eastAsia="en-US"/>
        </w:rPr>
        <w:t>п</w:t>
      </w:r>
      <w:r w:rsidR="005D575C" w:rsidRPr="00D256CD">
        <w:rPr>
          <w:rFonts w:eastAsiaTheme="minorHAnsi"/>
          <w:bCs/>
          <w:lang w:eastAsia="en-US"/>
        </w:rPr>
        <w:t>ользования</w:t>
      </w:r>
      <w:r w:rsidR="00A07918">
        <w:rPr>
          <w:rFonts w:eastAsiaTheme="minorHAnsi"/>
          <w:bCs/>
          <w:lang w:eastAsia="en-US"/>
        </w:rPr>
        <w:t>,</w:t>
      </w:r>
      <w:r w:rsidR="0037599D">
        <w:rPr>
          <w:rFonts w:eastAsiaTheme="minorHAnsi"/>
          <w:bCs/>
          <w:lang w:eastAsia="en-US"/>
        </w:rPr>
        <w:t xml:space="preserve"> -</w:t>
      </w:r>
      <w:r w:rsidRPr="00D256CD">
        <w:rPr>
          <w:rFonts w:eastAsiaTheme="minorHAnsi"/>
          <w:bCs/>
          <w:lang w:eastAsia="en-US"/>
        </w:rPr>
        <w:t xml:space="preserve"> </w:t>
      </w:r>
      <w:r w:rsidR="00960AD9" w:rsidRPr="00D256CD">
        <w:rPr>
          <w:rFonts w:eastAsiaTheme="minorHAnsi"/>
          <w:bCs/>
          <w:lang w:eastAsia="en-US"/>
        </w:rPr>
        <w:t>1160</w:t>
      </w:r>
      <w:r w:rsidRPr="00D256CD">
        <w:rPr>
          <w:rFonts w:eastAsiaTheme="minorHAnsi"/>
          <w:bCs/>
          <w:lang w:eastAsia="en-US"/>
        </w:rPr>
        <w:t xml:space="preserve"> единиц.</w:t>
      </w:r>
    </w:p>
    <w:p w:rsidR="00972041" w:rsidRPr="00E66049" w:rsidRDefault="00972041" w:rsidP="00972041">
      <w:pPr>
        <w:ind w:firstLine="709"/>
        <w:jc w:val="both"/>
      </w:pPr>
      <w:r w:rsidRPr="00262473">
        <w:t xml:space="preserve">Согласно отчету об исполнении государственного задания </w:t>
      </w:r>
      <w:r w:rsidR="00960AD9" w:rsidRPr="00262473">
        <w:t xml:space="preserve">первые </w:t>
      </w:r>
      <w:r w:rsidR="00262473" w:rsidRPr="00262473">
        <w:t>четыре</w:t>
      </w:r>
      <w:r w:rsidR="0037599D">
        <w:t xml:space="preserve"> </w:t>
      </w:r>
      <w:r w:rsidRPr="00262473">
        <w:t>показател</w:t>
      </w:r>
      <w:r w:rsidR="00960AD9" w:rsidRPr="00262473">
        <w:t>я</w:t>
      </w:r>
      <w:r w:rsidRPr="00262473">
        <w:t xml:space="preserve"> объема работ достигнуты в полном объеме</w:t>
      </w:r>
      <w:r w:rsidR="00960AD9" w:rsidRPr="00262473">
        <w:t xml:space="preserve">, </w:t>
      </w:r>
      <w:r w:rsidR="00262473" w:rsidRPr="00262473">
        <w:t>пяты</w:t>
      </w:r>
      <w:r w:rsidR="00960AD9" w:rsidRPr="00262473">
        <w:t>й перевыполнен в пределах допустимого отклонения</w:t>
      </w:r>
      <w:r w:rsidRPr="00262473">
        <w:t>.</w:t>
      </w:r>
    </w:p>
    <w:p w:rsidR="00F61636" w:rsidRPr="00A016F0" w:rsidRDefault="00F61636" w:rsidP="00972041">
      <w:pPr>
        <w:ind w:firstLine="709"/>
        <w:jc w:val="both"/>
        <w:rPr>
          <w:b/>
          <w:i/>
        </w:rPr>
      </w:pPr>
    </w:p>
    <w:p w:rsidR="00972041" w:rsidRDefault="00972041" w:rsidP="00972041">
      <w:pPr>
        <w:jc w:val="center"/>
        <w:rPr>
          <w:b/>
          <w:i/>
        </w:rPr>
      </w:pPr>
      <w:r w:rsidRPr="00C31196">
        <w:rPr>
          <w:b/>
          <w:i/>
        </w:rPr>
        <w:t>Динамика изменения дебиторской и кредиторской задолженностей</w:t>
      </w:r>
    </w:p>
    <w:p w:rsidR="00972041" w:rsidRPr="00C31196" w:rsidRDefault="00972041" w:rsidP="00972041">
      <w:pPr>
        <w:ind w:firstLine="709"/>
        <w:jc w:val="both"/>
      </w:pPr>
      <w:r w:rsidRPr="00C31196">
        <w:t xml:space="preserve">Информация об объемах дебиторской и кредиторской задолженностей по состоянию на начало и </w:t>
      </w:r>
      <w:proofErr w:type="gramStart"/>
      <w:r w:rsidRPr="00C31196">
        <w:t>на конец</w:t>
      </w:r>
      <w:proofErr w:type="gramEnd"/>
      <w:r w:rsidRPr="00C31196">
        <w:t xml:space="preserve"> </w:t>
      </w:r>
      <w:r w:rsidR="00EB0740">
        <w:t>201</w:t>
      </w:r>
      <w:r w:rsidR="00615023">
        <w:t>9</w:t>
      </w:r>
      <w:r w:rsidR="0037599D">
        <w:t xml:space="preserve"> года представлена в таблице.</w:t>
      </w:r>
    </w:p>
    <w:p w:rsidR="00972041" w:rsidRPr="00C31196" w:rsidRDefault="00972041" w:rsidP="00972041">
      <w:pPr>
        <w:autoSpaceDE w:val="0"/>
        <w:autoSpaceDN w:val="0"/>
        <w:adjustRightInd w:val="0"/>
        <w:ind w:right="-1" w:firstLine="720"/>
        <w:jc w:val="right"/>
        <w:rPr>
          <w:sz w:val="20"/>
          <w:szCs w:val="20"/>
        </w:rPr>
      </w:pPr>
      <w:r>
        <w:rPr>
          <w:i/>
          <w:sz w:val="20"/>
          <w:szCs w:val="20"/>
        </w:rPr>
        <w:t>тыс</w:t>
      </w:r>
      <w:r w:rsidRPr="00011C86">
        <w:rPr>
          <w:i/>
          <w:sz w:val="20"/>
          <w:szCs w:val="20"/>
        </w:rPr>
        <w:t>. руб.</w:t>
      </w:r>
    </w:p>
    <w:tbl>
      <w:tblPr>
        <w:tblW w:w="9573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87"/>
        <w:gridCol w:w="1701"/>
        <w:gridCol w:w="1439"/>
        <w:gridCol w:w="1254"/>
        <w:gridCol w:w="992"/>
      </w:tblGrid>
      <w:tr w:rsidR="00972041" w:rsidRPr="00C31196" w:rsidTr="00853DF4">
        <w:trPr>
          <w:trHeight w:val="20"/>
          <w:tblHeader/>
        </w:trPr>
        <w:tc>
          <w:tcPr>
            <w:tcW w:w="418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72041" w:rsidRPr="00C31196" w:rsidRDefault="00972041" w:rsidP="00972041">
            <w:pPr>
              <w:jc w:val="center"/>
              <w:rPr>
                <w:sz w:val="20"/>
                <w:szCs w:val="20"/>
              </w:rPr>
            </w:pPr>
            <w:r w:rsidRPr="00C3119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72041" w:rsidRPr="00F351ED" w:rsidRDefault="00972041" w:rsidP="00785C1E">
            <w:pPr>
              <w:jc w:val="center"/>
              <w:rPr>
                <w:sz w:val="20"/>
                <w:szCs w:val="20"/>
                <w:lang w:val="en-US"/>
              </w:rPr>
            </w:pPr>
            <w:r w:rsidRPr="00C31196">
              <w:rPr>
                <w:bCs/>
                <w:sz w:val="20"/>
                <w:szCs w:val="20"/>
              </w:rPr>
              <w:t xml:space="preserve">на </w:t>
            </w:r>
            <w:r>
              <w:rPr>
                <w:bCs/>
                <w:sz w:val="20"/>
                <w:szCs w:val="20"/>
                <w:lang w:val="en-US"/>
              </w:rPr>
              <w:t>01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01</w:t>
            </w:r>
            <w:r w:rsidRPr="00C31196">
              <w:rPr>
                <w:bCs/>
                <w:sz w:val="20"/>
                <w:szCs w:val="20"/>
              </w:rPr>
              <w:t>.</w:t>
            </w:r>
            <w:r w:rsidR="00825496">
              <w:rPr>
                <w:bCs/>
                <w:sz w:val="20"/>
                <w:szCs w:val="20"/>
              </w:rPr>
              <w:t>20</w:t>
            </w:r>
            <w:r w:rsidRPr="00C31196">
              <w:rPr>
                <w:bCs/>
                <w:sz w:val="20"/>
                <w:szCs w:val="20"/>
              </w:rPr>
              <w:t>1</w:t>
            </w:r>
            <w:r w:rsidR="0061502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2041" w:rsidRPr="00823089" w:rsidRDefault="00972041" w:rsidP="00EB0740">
            <w:pPr>
              <w:jc w:val="center"/>
              <w:rPr>
                <w:sz w:val="20"/>
                <w:szCs w:val="20"/>
              </w:rPr>
            </w:pPr>
            <w:r w:rsidRPr="00C31196">
              <w:rPr>
                <w:bCs/>
                <w:sz w:val="20"/>
                <w:szCs w:val="20"/>
              </w:rPr>
              <w:t xml:space="preserve">на </w:t>
            </w:r>
            <w:r>
              <w:rPr>
                <w:bCs/>
                <w:sz w:val="20"/>
                <w:szCs w:val="20"/>
              </w:rPr>
              <w:t>01</w:t>
            </w:r>
            <w:r w:rsidRPr="00C3119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Pr="00C31196">
              <w:rPr>
                <w:bCs/>
                <w:sz w:val="20"/>
                <w:szCs w:val="20"/>
              </w:rPr>
              <w:t>.</w:t>
            </w:r>
            <w:r w:rsidR="00825496">
              <w:rPr>
                <w:bCs/>
                <w:sz w:val="20"/>
                <w:szCs w:val="20"/>
              </w:rPr>
              <w:t>20</w:t>
            </w:r>
            <w:r w:rsidR="0061502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4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hideMark/>
          </w:tcPr>
          <w:p w:rsidR="00972041" w:rsidRPr="00C31196" w:rsidRDefault="00972041" w:rsidP="00972041">
            <w:pPr>
              <w:jc w:val="center"/>
              <w:rPr>
                <w:sz w:val="20"/>
                <w:szCs w:val="20"/>
              </w:rPr>
            </w:pPr>
            <w:r w:rsidRPr="00C31196">
              <w:rPr>
                <w:sz w:val="20"/>
                <w:szCs w:val="20"/>
              </w:rPr>
              <w:t xml:space="preserve">Отклонение </w:t>
            </w:r>
          </w:p>
        </w:tc>
      </w:tr>
      <w:tr w:rsidR="00972041" w:rsidRPr="00C31196" w:rsidTr="00853DF4">
        <w:trPr>
          <w:trHeight w:val="20"/>
          <w:tblHeader/>
        </w:trPr>
        <w:tc>
          <w:tcPr>
            <w:tcW w:w="418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972041" w:rsidRPr="00C31196" w:rsidRDefault="00972041" w:rsidP="009720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972041" w:rsidRPr="00C31196" w:rsidRDefault="00972041" w:rsidP="0097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972041" w:rsidRPr="00C31196" w:rsidRDefault="00972041" w:rsidP="0097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972041" w:rsidRPr="00C31196" w:rsidRDefault="00B45AC8" w:rsidP="0097204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hideMark/>
          </w:tcPr>
          <w:p w:rsidR="00972041" w:rsidRPr="00C31196" w:rsidRDefault="00972041" w:rsidP="00972041">
            <w:pPr>
              <w:jc w:val="center"/>
              <w:rPr>
                <w:sz w:val="20"/>
                <w:szCs w:val="20"/>
              </w:rPr>
            </w:pPr>
            <w:r w:rsidRPr="00C31196">
              <w:rPr>
                <w:bCs/>
                <w:sz w:val="20"/>
                <w:szCs w:val="20"/>
              </w:rPr>
              <w:t>%</w:t>
            </w:r>
          </w:p>
        </w:tc>
      </w:tr>
      <w:tr w:rsidR="00615023" w:rsidRPr="00C31196" w:rsidTr="00853DF4">
        <w:trPr>
          <w:trHeight w:val="64"/>
        </w:trPr>
        <w:tc>
          <w:tcPr>
            <w:tcW w:w="4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615023" w:rsidRPr="00BF3F29" w:rsidRDefault="00615023" w:rsidP="00615023">
            <w:pPr>
              <w:jc w:val="both"/>
              <w:rPr>
                <w:b/>
                <w:i/>
                <w:sz w:val="20"/>
                <w:szCs w:val="20"/>
              </w:rPr>
            </w:pPr>
            <w:r w:rsidRPr="00BF3F29">
              <w:rPr>
                <w:b/>
                <w:i/>
                <w:sz w:val="20"/>
                <w:szCs w:val="20"/>
              </w:rPr>
              <w:t>Дебиторская задолженность, в т.ч.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615023" w:rsidRPr="00B45AC8" w:rsidRDefault="00615023" w:rsidP="0061502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516 5</w:t>
            </w:r>
            <w:r w:rsidR="00F123AD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8,</w:t>
            </w:r>
            <w:r w:rsidR="00F123A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615023" w:rsidRPr="00B45AC8" w:rsidRDefault="00287B31" w:rsidP="0061502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3 741 941,2  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15023" w:rsidRPr="00B45AC8" w:rsidRDefault="00DC3AC4" w:rsidP="0061502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3 225 432,9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15023" w:rsidRPr="00B45AC8" w:rsidRDefault="009F6A37" w:rsidP="0061502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 7,2 раза</w:t>
            </w:r>
          </w:p>
        </w:tc>
      </w:tr>
      <w:tr w:rsidR="00F123AD" w:rsidRPr="00C31196" w:rsidTr="00853DF4">
        <w:trPr>
          <w:trHeight w:val="20"/>
        </w:trPr>
        <w:tc>
          <w:tcPr>
            <w:tcW w:w="4187" w:type="dxa"/>
            <w:tcBorders>
              <w:top w:val="double" w:sz="4" w:space="0" w:color="auto"/>
            </w:tcBorders>
            <w:shd w:val="clear" w:color="auto" w:fill="auto"/>
          </w:tcPr>
          <w:p w:rsidR="00F123AD" w:rsidRPr="002D696E" w:rsidRDefault="002C55B0" w:rsidP="006150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123AD" w:rsidRPr="002D696E" w:rsidRDefault="002C55B0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123AD" w:rsidRPr="002D696E" w:rsidRDefault="002C55B0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3 452 870,8</w:t>
            </w: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123AD" w:rsidRPr="00C17BBB" w:rsidRDefault="006E2565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3 452 870,8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123AD" w:rsidRPr="00C17BBB" w:rsidRDefault="006E2565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5023" w:rsidRPr="00C31196" w:rsidTr="00853DF4">
        <w:trPr>
          <w:trHeight w:val="20"/>
        </w:trPr>
        <w:tc>
          <w:tcPr>
            <w:tcW w:w="4187" w:type="dxa"/>
            <w:shd w:val="clear" w:color="auto" w:fill="auto"/>
            <w:hideMark/>
          </w:tcPr>
          <w:p w:rsidR="00615023" w:rsidRPr="002D696E" w:rsidRDefault="00615023" w:rsidP="00615023">
            <w:pPr>
              <w:jc w:val="both"/>
              <w:rPr>
                <w:sz w:val="20"/>
                <w:szCs w:val="20"/>
              </w:rPr>
            </w:pPr>
            <w:r w:rsidRPr="002D696E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15023" w:rsidRPr="002D696E" w:rsidRDefault="00615023" w:rsidP="00615023">
            <w:pPr>
              <w:jc w:val="right"/>
              <w:rPr>
                <w:sz w:val="20"/>
                <w:szCs w:val="20"/>
              </w:rPr>
            </w:pPr>
            <w:r w:rsidRPr="002D696E">
              <w:rPr>
                <w:sz w:val="20"/>
                <w:szCs w:val="20"/>
              </w:rPr>
              <w:t>261 767,0</w:t>
            </w:r>
          </w:p>
        </w:tc>
        <w:tc>
          <w:tcPr>
            <w:tcW w:w="1439" w:type="dxa"/>
            <w:shd w:val="clear" w:color="auto" w:fill="auto"/>
            <w:noWrap/>
            <w:vAlign w:val="bottom"/>
          </w:tcPr>
          <w:p w:rsidR="00615023" w:rsidRPr="002D696E" w:rsidRDefault="002C55B0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132 028,6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615023" w:rsidRPr="00C17BBB" w:rsidRDefault="006E2565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-129 738,4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15023" w:rsidRPr="00C17BBB" w:rsidRDefault="009F6A37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 раза</w:t>
            </w:r>
          </w:p>
        </w:tc>
      </w:tr>
      <w:tr w:rsidR="00615023" w:rsidRPr="00C31196" w:rsidTr="00853DF4">
        <w:trPr>
          <w:trHeight w:val="20"/>
        </w:trPr>
        <w:tc>
          <w:tcPr>
            <w:tcW w:w="4187" w:type="dxa"/>
            <w:shd w:val="clear" w:color="auto" w:fill="auto"/>
            <w:hideMark/>
          </w:tcPr>
          <w:p w:rsidR="00615023" w:rsidRPr="002D696E" w:rsidRDefault="00615023" w:rsidP="00615023">
            <w:pPr>
              <w:jc w:val="both"/>
              <w:rPr>
                <w:sz w:val="20"/>
                <w:szCs w:val="20"/>
              </w:rPr>
            </w:pPr>
            <w:r w:rsidRPr="002D696E">
              <w:rPr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15023" w:rsidRPr="002D696E" w:rsidRDefault="00615023" w:rsidP="00615023">
            <w:pPr>
              <w:jc w:val="right"/>
              <w:rPr>
                <w:sz w:val="20"/>
                <w:szCs w:val="20"/>
              </w:rPr>
            </w:pPr>
            <w:r w:rsidRPr="001116CD">
              <w:rPr>
                <w:sz w:val="20"/>
                <w:szCs w:val="20"/>
              </w:rPr>
              <w:t>254 5</w:t>
            </w:r>
            <w:r w:rsidR="001116CD" w:rsidRPr="001116CD">
              <w:rPr>
                <w:sz w:val="20"/>
                <w:szCs w:val="20"/>
              </w:rPr>
              <w:t>5</w:t>
            </w:r>
            <w:r w:rsidRPr="001116CD">
              <w:rPr>
                <w:sz w:val="20"/>
                <w:szCs w:val="20"/>
              </w:rPr>
              <w:t>5,</w:t>
            </w:r>
            <w:r w:rsidR="001116CD" w:rsidRPr="001116C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shd w:val="clear" w:color="auto" w:fill="auto"/>
            <w:noWrap/>
            <w:vAlign w:val="bottom"/>
          </w:tcPr>
          <w:p w:rsidR="00615023" w:rsidRPr="002D696E" w:rsidRDefault="002C55B0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157 014,9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615023" w:rsidRPr="00C17BBB" w:rsidRDefault="0052262A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-97 540,2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15023" w:rsidRPr="00C17BBB" w:rsidRDefault="00BB540A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-38,3</w:t>
            </w:r>
          </w:p>
        </w:tc>
      </w:tr>
      <w:tr w:rsidR="00615023" w:rsidRPr="00C31196" w:rsidTr="00853DF4">
        <w:trPr>
          <w:trHeight w:val="64"/>
        </w:trPr>
        <w:tc>
          <w:tcPr>
            <w:tcW w:w="4187" w:type="dxa"/>
            <w:tcBorders>
              <w:bottom w:val="single" w:sz="6" w:space="0" w:color="auto"/>
            </w:tcBorders>
            <w:shd w:val="clear" w:color="auto" w:fill="auto"/>
            <w:hideMark/>
          </w:tcPr>
          <w:p w:rsidR="00615023" w:rsidRPr="002D696E" w:rsidRDefault="00615023" w:rsidP="00615023">
            <w:pPr>
              <w:jc w:val="both"/>
              <w:rPr>
                <w:sz w:val="20"/>
                <w:szCs w:val="20"/>
              </w:rPr>
            </w:pPr>
            <w:r w:rsidRPr="002D696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615023" w:rsidRPr="002D696E" w:rsidRDefault="00615023" w:rsidP="00615023">
            <w:pPr>
              <w:jc w:val="right"/>
              <w:rPr>
                <w:sz w:val="20"/>
                <w:szCs w:val="20"/>
              </w:rPr>
            </w:pPr>
            <w:r w:rsidRPr="002D696E">
              <w:rPr>
                <w:sz w:val="20"/>
                <w:szCs w:val="20"/>
              </w:rPr>
              <w:t>186,2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15023" w:rsidRPr="002D696E" w:rsidRDefault="002C55B0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25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615023" w:rsidRPr="00C17BBB" w:rsidRDefault="0052262A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-159,4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615023" w:rsidRPr="00C17BBB" w:rsidRDefault="00BB540A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6,9 раза</w:t>
            </w:r>
          </w:p>
        </w:tc>
      </w:tr>
      <w:tr w:rsidR="00615023" w:rsidRPr="00C31196" w:rsidTr="00853DF4">
        <w:trPr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15023" w:rsidRPr="002D696E" w:rsidRDefault="00615023" w:rsidP="00615023">
            <w:pPr>
              <w:jc w:val="both"/>
              <w:rPr>
                <w:b/>
                <w:i/>
                <w:sz w:val="20"/>
                <w:szCs w:val="20"/>
              </w:rPr>
            </w:pPr>
            <w:r w:rsidRPr="002D696E">
              <w:rPr>
                <w:b/>
                <w:i/>
                <w:sz w:val="20"/>
                <w:szCs w:val="20"/>
              </w:rPr>
              <w:t>Кредиторская задолженность, в т.ч.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615023" w:rsidRPr="002D696E" w:rsidRDefault="006D402B" w:rsidP="0061502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45 949,6</w:t>
            </w:r>
          </w:p>
        </w:tc>
        <w:tc>
          <w:tcPr>
            <w:tcW w:w="14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615023" w:rsidRPr="002D696E" w:rsidRDefault="006D402B" w:rsidP="0061502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56216E">
              <w:rPr>
                <w:b/>
                <w:i/>
                <w:sz w:val="20"/>
                <w:szCs w:val="20"/>
              </w:rPr>
              <w:t> 139,1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15023" w:rsidRPr="00895DBB" w:rsidRDefault="00D25AC5" w:rsidP="0061502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-18 810,5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5023" w:rsidRPr="0013760E" w:rsidRDefault="007327F7" w:rsidP="0061502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-40,9</w:t>
            </w:r>
          </w:p>
        </w:tc>
      </w:tr>
      <w:tr w:rsidR="00615023" w:rsidRPr="00C31196" w:rsidTr="00853DF4">
        <w:trPr>
          <w:trHeight w:val="20"/>
        </w:trPr>
        <w:tc>
          <w:tcPr>
            <w:tcW w:w="4187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615023" w:rsidRPr="002D696E" w:rsidRDefault="00615023" w:rsidP="00615023">
            <w:pPr>
              <w:jc w:val="both"/>
              <w:rPr>
                <w:sz w:val="20"/>
                <w:szCs w:val="20"/>
              </w:rPr>
            </w:pPr>
            <w:r w:rsidRPr="002D696E">
              <w:rPr>
                <w:bCs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:rsidR="00615023" w:rsidRPr="002D696E" w:rsidRDefault="001116CD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r w:rsidR="00F223C6">
              <w:rPr>
                <w:sz w:val="20"/>
                <w:szCs w:val="20"/>
              </w:rPr>
              <w:t>137</w:t>
            </w:r>
            <w:r>
              <w:rPr>
                <w:sz w:val="20"/>
                <w:szCs w:val="20"/>
              </w:rPr>
              <w:t>,</w:t>
            </w:r>
            <w:r w:rsidR="00F223C6"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615023" w:rsidRPr="002D696E" w:rsidRDefault="00806E4E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216E">
              <w:rPr>
                <w:sz w:val="20"/>
                <w:szCs w:val="20"/>
              </w:rPr>
              <w:t>6 058,0</w:t>
            </w:r>
          </w:p>
        </w:tc>
        <w:tc>
          <w:tcPr>
            <w:tcW w:w="125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615023" w:rsidRPr="00895DBB" w:rsidRDefault="00D25AC5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-19 079,7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615023" w:rsidRPr="00895DBB" w:rsidRDefault="007327F7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-42,3</w:t>
            </w:r>
          </w:p>
        </w:tc>
      </w:tr>
      <w:tr w:rsidR="00615023" w:rsidRPr="00C31196" w:rsidTr="00853DF4">
        <w:trPr>
          <w:trHeight w:val="20"/>
        </w:trPr>
        <w:tc>
          <w:tcPr>
            <w:tcW w:w="4187" w:type="dxa"/>
            <w:shd w:val="clear" w:color="auto" w:fill="auto"/>
            <w:hideMark/>
          </w:tcPr>
          <w:p w:rsidR="00615023" w:rsidRPr="002D696E" w:rsidRDefault="00615023" w:rsidP="00615023">
            <w:pPr>
              <w:jc w:val="both"/>
              <w:rPr>
                <w:sz w:val="20"/>
                <w:szCs w:val="20"/>
              </w:rPr>
            </w:pPr>
            <w:r w:rsidRPr="002D696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15023" w:rsidRPr="002D696E" w:rsidRDefault="00615023" w:rsidP="00615023">
            <w:pPr>
              <w:jc w:val="right"/>
              <w:rPr>
                <w:sz w:val="20"/>
                <w:szCs w:val="20"/>
              </w:rPr>
            </w:pPr>
            <w:r w:rsidRPr="002D696E">
              <w:rPr>
                <w:sz w:val="20"/>
                <w:szCs w:val="20"/>
              </w:rPr>
              <w:t>23,6</w:t>
            </w:r>
          </w:p>
        </w:tc>
        <w:tc>
          <w:tcPr>
            <w:tcW w:w="1439" w:type="dxa"/>
            <w:shd w:val="clear" w:color="auto" w:fill="auto"/>
            <w:noWrap/>
            <w:vAlign w:val="bottom"/>
          </w:tcPr>
          <w:p w:rsidR="00615023" w:rsidRPr="002D696E" w:rsidRDefault="00806E4E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615023" w:rsidRPr="00895DBB" w:rsidRDefault="00D25AC5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15023" w:rsidRPr="00895DBB" w:rsidRDefault="007327F7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-99,9</w:t>
            </w:r>
          </w:p>
        </w:tc>
      </w:tr>
      <w:tr w:rsidR="00615023" w:rsidRPr="00C31196" w:rsidTr="00853DF4">
        <w:trPr>
          <w:trHeight w:val="20"/>
        </w:trPr>
        <w:tc>
          <w:tcPr>
            <w:tcW w:w="4187" w:type="dxa"/>
            <w:shd w:val="clear" w:color="auto" w:fill="auto"/>
            <w:noWrap/>
            <w:vAlign w:val="bottom"/>
            <w:hideMark/>
          </w:tcPr>
          <w:p w:rsidR="00615023" w:rsidRPr="002D696E" w:rsidRDefault="00615023" w:rsidP="00615023">
            <w:pPr>
              <w:rPr>
                <w:sz w:val="20"/>
                <w:szCs w:val="20"/>
              </w:rPr>
            </w:pPr>
            <w:r w:rsidRPr="002D696E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5023" w:rsidRPr="002D696E" w:rsidRDefault="00812DB0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788,3</w:t>
            </w:r>
          </w:p>
        </w:tc>
        <w:tc>
          <w:tcPr>
            <w:tcW w:w="1439" w:type="dxa"/>
            <w:shd w:val="clear" w:color="auto" w:fill="auto"/>
            <w:noWrap/>
            <w:vAlign w:val="bottom"/>
          </w:tcPr>
          <w:p w:rsidR="00615023" w:rsidRPr="002D696E" w:rsidRDefault="00806E4E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1 079,4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615023" w:rsidRPr="00895DBB" w:rsidRDefault="00D25AC5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15023" w:rsidRPr="00895DBB" w:rsidRDefault="007327F7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</w:tr>
      <w:tr w:rsidR="00615023" w:rsidRPr="00C31196" w:rsidTr="00853DF4">
        <w:trPr>
          <w:trHeight w:val="20"/>
        </w:trPr>
        <w:tc>
          <w:tcPr>
            <w:tcW w:w="4187" w:type="dxa"/>
            <w:shd w:val="clear" w:color="auto" w:fill="auto"/>
            <w:noWrap/>
            <w:vAlign w:val="bottom"/>
            <w:hideMark/>
          </w:tcPr>
          <w:p w:rsidR="00615023" w:rsidRPr="00C31196" w:rsidRDefault="00615023" w:rsidP="00615023">
            <w:pPr>
              <w:rPr>
                <w:sz w:val="20"/>
                <w:szCs w:val="20"/>
              </w:rPr>
            </w:pPr>
            <w:r w:rsidRPr="00C31196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5023" w:rsidRPr="00C31196" w:rsidRDefault="002C55B0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15023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</w:tcPr>
          <w:p w:rsidR="00615023" w:rsidRPr="00C31196" w:rsidRDefault="0056216E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615023" w:rsidRPr="00895DBB" w:rsidRDefault="00D25AC5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15023" w:rsidRPr="00895DBB" w:rsidRDefault="00D25AC5" w:rsidP="00615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72041" w:rsidRPr="008A74D9" w:rsidRDefault="00972041" w:rsidP="00972041">
      <w:pPr>
        <w:ind w:firstLine="720"/>
        <w:jc w:val="both"/>
        <w:rPr>
          <w:i/>
          <w:sz w:val="16"/>
          <w:szCs w:val="16"/>
          <w:u w:val="single"/>
        </w:rPr>
      </w:pPr>
    </w:p>
    <w:p w:rsidR="00245296" w:rsidRDefault="00972041" w:rsidP="00972041">
      <w:pPr>
        <w:ind w:firstLine="720"/>
        <w:jc w:val="both"/>
      </w:pPr>
      <w:proofErr w:type="gramStart"/>
      <w:r w:rsidRPr="00A454D6">
        <w:t xml:space="preserve">Дебиторская задолженность на </w:t>
      </w:r>
      <w:r w:rsidR="0037599D">
        <w:t>конец 2019 года</w:t>
      </w:r>
      <w:r w:rsidRPr="00A454D6">
        <w:t xml:space="preserve"> составила </w:t>
      </w:r>
      <w:r w:rsidR="00A454D6" w:rsidRPr="00A454D6">
        <w:t xml:space="preserve">3 741 941,2 </w:t>
      </w:r>
      <w:r w:rsidRPr="00A454D6">
        <w:t xml:space="preserve">тыс. руб., что </w:t>
      </w:r>
      <w:r w:rsidR="00A454D6">
        <w:t xml:space="preserve">в 7,2 </w:t>
      </w:r>
      <w:r w:rsidR="007A10A5">
        <w:t>раза</w:t>
      </w:r>
      <w:r w:rsidR="0037599D">
        <w:t xml:space="preserve"> </w:t>
      </w:r>
      <w:r w:rsidR="00460D87" w:rsidRPr="00A454D6">
        <w:t>бол</w:t>
      </w:r>
      <w:r w:rsidR="000E117D" w:rsidRPr="00A454D6">
        <w:t>ь</w:t>
      </w:r>
      <w:r w:rsidRPr="00A454D6">
        <w:t>ше соответствующего показателя на начало года</w:t>
      </w:r>
      <w:r w:rsidR="00B111AB">
        <w:t xml:space="preserve"> и, в основном</w:t>
      </w:r>
      <w:r w:rsidRPr="00A454D6">
        <w:t xml:space="preserve"> </w:t>
      </w:r>
      <w:r w:rsidR="00E922B8">
        <w:t>(3 452 844,8 тыс. руб.)</w:t>
      </w:r>
      <w:r w:rsidR="00B111AB">
        <w:t>,</w:t>
      </w:r>
      <w:r w:rsidR="00E922B8">
        <w:t xml:space="preserve"> </w:t>
      </w:r>
      <w:r w:rsidRPr="00A454D6">
        <w:t xml:space="preserve">приходится на </w:t>
      </w:r>
      <w:r w:rsidR="00245296">
        <w:t>ра</w:t>
      </w:r>
      <w:r w:rsidR="00B111AB">
        <w:t>счёты по доходам</w:t>
      </w:r>
      <w:r w:rsidR="007042DD">
        <w:t xml:space="preserve"> 2020 - 2021 годов</w:t>
      </w:r>
      <w:r w:rsidR="00B111AB">
        <w:t xml:space="preserve">, образовавшимся </w:t>
      </w:r>
      <w:r w:rsidR="00C879CD">
        <w:t xml:space="preserve">в результате заключения в 2019 году </w:t>
      </w:r>
      <w:r w:rsidR="00245296">
        <w:t>соглашени</w:t>
      </w:r>
      <w:r w:rsidR="00C879CD">
        <w:t>й</w:t>
      </w:r>
      <w:r w:rsidR="00245296">
        <w:t xml:space="preserve"> с Федеральным дорожным агентством о предоставлении </w:t>
      </w:r>
      <w:r w:rsidR="00E922B8">
        <w:t>межбюджетных трансфертов</w:t>
      </w:r>
      <w:r w:rsidR="00245296">
        <w:t xml:space="preserve"> из федерального бюджета</w:t>
      </w:r>
      <w:r w:rsidR="00900167">
        <w:t>.</w:t>
      </w:r>
      <w:proofErr w:type="gramEnd"/>
    </w:p>
    <w:p w:rsidR="00005B81" w:rsidRPr="00EB6750" w:rsidRDefault="003E4121" w:rsidP="00173D34">
      <w:pPr>
        <w:ind w:firstLine="709"/>
        <w:jc w:val="both"/>
      </w:pPr>
      <w:r w:rsidRPr="00EB6750">
        <w:t>З</w:t>
      </w:r>
      <w:r w:rsidR="00173D34" w:rsidRPr="00EB6750">
        <w:t>адолженност</w:t>
      </w:r>
      <w:r w:rsidRPr="00EB6750">
        <w:t>ь по</w:t>
      </w:r>
      <w:r w:rsidR="00B111AB">
        <w:t xml:space="preserve"> </w:t>
      </w:r>
      <w:r w:rsidRPr="00EB6750">
        <w:t>расчета</w:t>
      </w:r>
      <w:r w:rsidR="00005B81" w:rsidRPr="00EB6750">
        <w:t>м</w:t>
      </w:r>
      <w:r w:rsidRPr="00EB6750">
        <w:t xml:space="preserve"> по </w:t>
      </w:r>
      <w:r w:rsidR="002B6783" w:rsidRPr="00EB6750">
        <w:t xml:space="preserve">ущербу и иным доходам </w:t>
      </w:r>
      <w:r w:rsidR="00005B81" w:rsidRPr="00EB6750">
        <w:t>состоит из</w:t>
      </w:r>
      <w:r w:rsidR="00B111AB">
        <w:t xml:space="preserve"> задолженности</w:t>
      </w:r>
      <w:r w:rsidR="007042DD">
        <w:t xml:space="preserve"> по штрафным санкциям за нарушение условий контрактов</w:t>
      </w:r>
      <w:r w:rsidR="00005B81" w:rsidRPr="00EB6750">
        <w:t>:</w:t>
      </w:r>
    </w:p>
    <w:p w:rsidR="00E24B56" w:rsidRDefault="00005B81" w:rsidP="00E24B56">
      <w:pPr>
        <w:ind w:firstLine="720"/>
        <w:jc w:val="both"/>
      </w:pPr>
      <w:r w:rsidRPr="00EB6750">
        <w:t>-</w:t>
      </w:r>
      <w:r w:rsidR="00E24B56" w:rsidRPr="004A5F0B">
        <w:t>ООО «Глобальное проектирование» (исполнительный лист № 013290328 от 17.10.2016)</w:t>
      </w:r>
      <w:r w:rsidR="007042DD">
        <w:t xml:space="preserve"> </w:t>
      </w:r>
      <w:r w:rsidR="00853DF4">
        <w:t xml:space="preserve">в сумме </w:t>
      </w:r>
      <w:r w:rsidR="00E24B56" w:rsidRPr="004A5F0B">
        <w:t xml:space="preserve">93 896,9 тыс. рублей. В 2017 году в связи с банкротством подрядчика заявление Комитета о включении требований по взысканию задолженности </w:t>
      </w:r>
      <w:r w:rsidR="00122AFE">
        <w:t xml:space="preserve">включено </w:t>
      </w:r>
      <w:r w:rsidR="00E24B56" w:rsidRPr="004A5F0B">
        <w:t>в реестр требований кредиторов должника</w:t>
      </w:r>
      <w:r w:rsidR="008A17C1">
        <w:t>;</w:t>
      </w:r>
    </w:p>
    <w:p w:rsidR="008A17C1" w:rsidRDefault="008A17C1" w:rsidP="00E24B56">
      <w:pPr>
        <w:ind w:firstLine="720"/>
        <w:jc w:val="both"/>
        <w:rPr>
          <w:color w:val="000000"/>
          <w:lang w:bidi="ru-RU"/>
        </w:rPr>
      </w:pPr>
      <w:r>
        <w:t>-</w:t>
      </w:r>
      <w:r w:rsidR="00AD4DD2">
        <w:rPr>
          <w:color w:val="000000"/>
          <w:lang w:bidi="ru-RU"/>
        </w:rPr>
        <w:t xml:space="preserve">ООО «Гранит» </w:t>
      </w:r>
      <w:r w:rsidR="00EB6750" w:rsidRPr="004A5F0B">
        <w:t xml:space="preserve">в размере </w:t>
      </w:r>
      <w:r w:rsidR="00EB6750">
        <w:t>1 265,0 тыс. руб</w:t>
      </w:r>
      <w:r w:rsidR="007042DD">
        <w:t>лей</w:t>
      </w:r>
      <w:r w:rsidR="00EB6750">
        <w:t>.</w:t>
      </w:r>
      <w:r w:rsidR="007042DD">
        <w:t xml:space="preserve"> Задолженность</w:t>
      </w:r>
      <w:r w:rsidR="007042DD">
        <w:rPr>
          <w:color w:val="000000"/>
          <w:lang w:bidi="ru-RU"/>
        </w:rPr>
        <w:t xml:space="preserve"> погашена в январе 2020 года</w:t>
      </w:r>
      <w:r w:rsidR="00EB6750">
        <w:rPr>
          <w:color w:val="000000"/>
          <w:lang w:bidi="ru-RU"/>
        </w:rPr>
        <w:t>;</w:t>
      </w:r>
    </w:p>
    <w:p w:rsidR="000D526D" w:rsidRPr="00F61636" w:rsidRDefault="00EB6750" w:rsidP="00EB6750">
      <w:pPr>
        <w:ind w:firstLine="720"/>
        <w:jc w:val="both"/>
      </w:pPr>
      <w:r>
        <w:t>-</w:t>
      </w:r>
      <w:r w:rsidR="007042DD" w:rsidRPr="00F61636">
        <w:t>ООО «</w:t>
      </w:r>
      <w:proofErr w:type="spellStart"/>
      <w:r w:rsidR="007042DD" w:rsidRPr="00F61636">
        <w:t>Дорстройсервис</w:t>
      </w:r>
      <w:proofErr w:type="spellEnd"/>
      <w:r w:rsidR="007042DD" w:rsidRPr="00F61636">
        <w:t>» (</w:t>
      </w:r>
      <w:r w:rsidR="007042DD">
        <w:t xml:space="preserve">первый </w:t>
      </w:r>
      <w:r w:rsidR="007042DD" w:rsidRPr="00F61636">
        <w:t>подрядчик по реконструкции шоссе Авиаторов)</w:t>
      </w:r>
      <w:r w:rsidR="007042DD">
        <w:t xml:space="preserve"> </w:t>
      </w:r>
      <w:r w:rsidR="000D526D">
        <w:rPr>
          <w:color w:val="000000"/>
          <w:lang w:bidi="ru-RU"/>
        </w:rPr>
        <w:t xml:space="preserve">в размере </w:t>
      </w:r>
      <w:r w:rsidR="00F61636">
        <w:rPr>
          <w:color w:val="000000"/>
          <w:lang w:bidi="ru-RU"/>
        </w:rPr>
        <w:t xml:space="preserve">42 598,5 тыс. руб. </w:t>
      </w:r>
      <w:r w:rsidR="002115C2">
        <w:rPr>
          <w:color w:val="000000"/>
          <w:lang w:bidi="ru-RU"/>
        </w:rPr>
        <w:t>в рамках банковской гарантии</w:t>
      </w:r>
      <w:r w:rsidR="000D526D">
        <w:rPr>
          <w:color w:val="000000"/>
          <w:lang w:bidi="ru-RU"/>
        </w:rPr>
        <w:t>,</w:t>
      </w:r>
      <w:r w:rsidR="007042DD">
        <w:rPr>
          <w:color w:val="000000"/>
          <w:lang w:bidi="ru-RU"/>
        </w:rPr>
        <w:t xml:space="preserve"> </w:t>
      </w:r>
      <w:r w:rsidR="002115C2" w:rsidRPr="00F61636">
        <w:rPr>
          <w:color w:val="000000"/>
          <w:lang w:bidi="ru-RU"/>
        </w:rPr>
        <w:t>выданной</w:t>
      </w:r>
      <w:r w:rsidRPr="00F61636">
        <w:t xml:space="preserve"> АО «</w:t>
      </w:r>
      <w:proofErr w:type="spellStart"/>
      <w:r w:rsidRPr="00F61636">
        <w:t>Россельхозбанк</w:t>
      </w:r>
      <w:proofErr w:type="spellEnd"/>
      <w:r w:rsidRPr="00F61636">
        <w:t>»</w:t>
      </w:r>
      <w:r w:rsidR="000D526D" w:rsidRPr="00F61636">
        <w:t>.</w:t>
      </w:r>
    </w:p>
    <w:p w:rsidR="008F5612" w:rsidRDefault="00972041" w:rsidP="008F5612">
      <w:pPr>
        <w:ind w:firstLine="720"/>
        <w:jc w:val="both"/>
      </w:pPr>
      <w:r w:rsidRPr="0067210D">
        <w:t xml:space="preserve">Кредиторская задолженность </w:t>
      </w:r>
      <w:proofErr w:type="gramStart"/>
      <w:r w:rsidRPr="0067210D">
        <w:t xml:space="preserve">на </w:t>
      </w:r>
      <w:r w:rsidR="00122AFE">
        <w:t>конец</w:t>
      </w:r>
      <w:proofErr w:type="gramEnd"/>
      <w:r w:rsidR="00122AFE">
        <w:t xml:space="preserve"> 2019 года</w:t>
      </w:r>
      <w:r w:rsidR="00AC46DB" w:rsidRPr="0067210D">
        <w:t xml:space="preserve"> </w:t>
      </w:r>
      <w:r w:rsidRPr="0067210D">
        <w:t xml:space="preserve">составила </w:t>
      </w:r>
      <w:r w:rsidR="00AC46DB" w:rsidRPr="0067210D">
        <w:rPr>
          <w:bCs/>
          <w:iCs/>
        </w:rPr>
        <w:t>27 139,1</w:t>
      </w:r>
      <w:r w:rsidRPr="0067210D">
        <w:t xml:space="preserve"> тыс. руб., что на </w:t>
      </w:r>
      <w:r w:rsidR="0067210D" w:rsidRPr="0067210D">
        <w:t>18 810,5</w:t>
      </w:r>
      <w:r w:rsidRPr="0067210D">
        <w:t xml:space="preserve"> тыс. руб., или </w:t>
      </w:r>
      <w:r w:rsidR="0067210D" w:rsidRPr="0067210D">
        <w:t xml:space="preserve">на 40,9% </w:t>
      </w:r>
      <w:r w:rsidR="00132B5F" w:rsidRPr="0067210D">
        <w:t>мен</w:t>
      </w:r>
      <w:r w:rsidRPr="0067210D">
        <w:t xml:space="preserve">ьше соответствующего показателя на начало года. </w:t>
      </w:r>
      <w:proofErr w:type="gramStart"/>
      <w:r w:rsidRPr="0067210D">
        <w:t xml:space="preserve">Основная сумма задолженности приходится на расчеты </w:t>
      </w:r>
      <w:r w:rsidR="00E922B8">
        <w:t xml:space="preserve">по </w:t>
      </w:r>
      <w:r w:rsidRPr="0067210D">
        <w:t xml:space="preserve">принятым обязательствам – </w:t>
      </w:r>
      <w:r w:rsidR="003D3C47">
        <w:t>26 058,0</w:t>
      </w:r>
      <w:r w:rsidRPr="0067210D">
        <w:t xml:space="preserve"> тыс. руб. </w:t>
      </w:r>
      <w:r w:rsidRPr="003D3C47">
        <w:t>(9</w:t>
      </w:r>
      <w:r w:rsidR="003D3C47" w:rsidRPr="003D3C47">
        <w:t>6,0</w:t>
      </w:r>
      <w:r w:rsidRPr="003D3C47">
        <w:t xml:space="preserve">%), </w:t>
      </w:r>
      <w:r w:rsidR="00F22645">
        <w:t>из кото</w:t>
      </w:r>
      <w:r w:rsidR="00A30EB3">
        <w:t>р</w:t>
      </w:r>
      <w:r w:rsidR="00F22645">
        <w:t>ых</w:t>
      </w:r>
      <w:r w:rsidR="00A30EB3">
        <w:t xml:space="preserve"> 24 997,0 тыс. руб. </w:t>
      </w:r>
      <w:r w:rsidR="00122AFE">
        <w:t>–</w:t>
      </w:r>
      <w:r w:rsidR="00A30EB3" w:rsidRPr="00745D3B">
        <w:t xml:space="preserve"> </w:t>
      </w:r>
      <w:r w:rsidR="00122AFE">
        <w:t xml:space="preserve">текущая задолженность </w:t>
      </w:r>
      <w:r w:rsidR="00F65C55" w:rsidRPr="00745D3B">
        <w:t xml:space="preserve">за декабрь </w:t>
      </w:r>
      <w:r w:rsidR="00F65C55" w:rsidRPr="00745D3B">
        <w:lastRenderedPageBreak/>
        <w:t xml:space="preserve">2019 года </w:t>
      </w:r>
      <w:r w:rsidR="00F65C55">
        <w:t xml:space="preserve">по документам, полученным </w:t>
      </w:r>
      <w:r w:rsidR="00F65C55" w:rsidRPr="00745D3B">
        <w:t>в январе 2020 года</w:t>
      </w:r>
      <w:r w:rsidR="00F65C55">
        <w:t>, по субсидиям</w:t>
      </w:r>
      <w:r w:rsidR="00836C67" w:rsidRPr="00745D3B">
        <w:t xml:space="preserve"> перевозчикам на возмещение </w:t>
      </w:r>
      <w:r w:rsidR="009932A1" w:rsidRPr="00745D3B">
        <w:t>недополученных доходов, возникающих в результате регулярных перевозок пассажиров по регулируемым тарифам</w:t>
      </w:r>
      <w:r w:rsidR="00E922B8">
        <w:t xml:space="preserve"> и по социальным проездным билетам</w:t>
      </w:r>
      <w:r w:rsidR="00F65C55">
        <w:t>.</w:t>
      </w:r>
      <w:proofErr w:type="gramEnd"/>
    </w:p>
    <w:p w:rsidR="00F65C55" w:rsidRPr="000A078C" w:rsidRDefault="00F65C55" w:rsidP="008F5612">
      <w:pPr>
        <w:ind w:firstLine="720"/>
        <w:jc w:val="both"/>
        <w:rPr>
          <w:rFonts w:eastAsiaTheme="minorHAnsi"/>
          <w:lang w:eastAsia="en-US"/>
        </w:rPr>
      </w:pPr>
    </w:p>
    <w:p w:rsidR="00572B38" w:rsidRPr="0019434E" w:rsidRDefault="00572B38" w:rsidP="00572B38">
      <w:pPr>
        <w:autoSpaceDE w:val="0"/>
        <w:autoSpaceDN w:val="0"/>
        <w:adjustRightInd w:val="0"/>
        <w:jc w:val="center"/>
        <w:rPr>
          <w:b/>
          <w:i/>
        </w:rPr>
      </w:pPr>
      <w:r w:rsidRPr="0019434E">
        <w:rPr>
          <w:b/>
          <w:i/>
        </w:rPr>
        <w:t xml:space="preserve">Анализ достижения поставленных целей </w:t>
      </w:r>
    </w:p>
    <w:p w:rsidR="00572B38" w:rsidRDefault="00572B38" w:rsidP="00572B38">
      <w:pPr>
        <w:autoSpaceDE w:val="0"/>
        <w:autoSpaceDN w:val="0"/>
        <w:adjustRightInd w:val="0"/>
        <w:jc w:val="center"/>
        <w:rPr>
          <w:b/>
          <w:i/>
        </w:rPr>
      </w:pPr>
      <w:r w:rsidRPr="0019434E">
        <w:rPr>
          <w:b/>
          <w:i/>
        </w:rPr>
        <w:t>и ожидаемых результатов при реализации государственных программ</w:t>
      </w:r>
    </w:p>
    <w:p w:rsidR="00EB2AFE" w:rsidRPr="00EB2AFE" w:rsidRDefault="00F35134" w:rsidP="00EB2AFE">
      <w:pPr>
        <w:pStyle w:val="ConsPlusNormal"/>
        <w:ind w:firstLine="709"/>
        <w:jc w:val="both"/>
      </w:pPr>
      <w:r w:rsidRPr="00EB2AFE">
        <w:t>Результаты</w:t>
      </w:r>
      <w:r w:rsidR="00187ABA" w:rsidRPr="00EB2AFE">
        <w:t xml:space="preserve"> достижения цел</w:t>
      </w:r>
      <w:r w:rsidRPr="00EB2AFE">
        <w:t>ей</w:t>
      </w:r>
      <w:r w:rsidR="00187ABA" w:rsidRPr="00EB2AFE">
        <w:t xml:space="preserve"> и решения задачи </w:t>
      </w:r>
      <w:r w:rsidRPr="00EB2AFE">
        <w:t xml:space="preserve">ГП «Транспорт» характеризуют 24 целевых показателя. </w:t>
      </w:r>
      <w:proofErr w:type="gramStart"/>
      <w:r w:rsidRPr="00EB2AFE">
        <w:t xml:space="preserve">В сфере исключительной ответственности Комитета находятся </w:t>
      </w:r>
      <w:r w:rsidR="00CB56CF" w:rsidRPr="00EB2AFE">
        <w:t>17</w:t>
      </w:r>
      <w:r w:rsidRPr="00EB2AFE">
        <w:t xml:space="preserve"> целевых показател</w:t>
      </w:r>
      <w:r w:rsidR="00CB56CF" w:rsidRPr="00EB2AFE">
        <w:t>ей</w:t>
      </w:r>
      <w:r w:rsidRPr="00EB2AFE">
        <w:t xml:space="preserve">, </w:t>
      </w:r>
      <w:r w:rsidR="00CB56CF" w:rsidRPr="00EB2AFE">
        <w:t>5</w:t>
      </w:r>
      <w:r w:rsidRPr="00EB2AFE">
        <w:t xml:space="preserve"> показател</w:t>
      </w:r>
      <w:r w:rsidR="00CB56CF" w:rsidRPr="00EB2AFE">
        <w:t>ей</w:t>
      </w:r>
      <w:r w:rsidRPr="00EB2AFE">
        <w:t xml:space="preserve"> - в </w:t>
      </w:r>
      <w:r w:rsidR="00853DF4">
        <w:t xml:space="preserve">сфере </w:t>
      </w:r>
      <w:r w:rsidRPr="00EB2AFE">
        <w:t xml:space="preserve">совместной ответственности Комитета и комитета информационных технологий Волгоградской области (далее – </w:t>
      </w:r>
      <w:proofErr w:type="spellStart"/>
      <w:r w:rsidRPr="00EB2AFE">
        <w:t>Облкоми</w:t>
      </w:r>
      <w:r w:rsidR="00CB56CF" w:rsidRPr="00EB2AFE">
        <w:t>нформтехнологии</w:t>
      </w:r>
      <w:proofErr w:type="spellEnd"/>
      <w:r w:rsidR="00CB56CF" w:rsidRPr="00EB2AFE">
        <w:t>), 2 показателя -</w:t>
      </w:r>
      <w:r w:rsidRPr="00EB2AFE">
        <w:t xml:space="preserve"> в исключительной ответственности </w:t>
      </w:r>
      <w:proofErr w:type="spellStart"/>
      <w:r w:rsidRPr="00EB2AFE">
        <w:t>Облкоминформтехнологии</w:t>
      </w:r>
      <w:proofErr w:type="spellEnd"/>
      <w:r w:rsidR="00EB2AFE" w:rsidRPr="00EB2AFE">
        <w:t>, который исполнял в 2019 году мероприятия по созданию автоматизированной системы весового и габаритного контроля транспортных средств Волгоградской области (далее - АСВГК), по обеспечению функционирования и развити</w:t>
      </w:r>
      <w:r w:rsidR="00A07918">
        <w:t>я</w:t>
      </w:r>
      <w:r w:rsidR="00EB2AFE" w:rsidRPr="00EB2AFE">
        <w:t xml:space="preserve"> подсистемы контроля и выявления нарушений</w:t>
      </w:r>
      <w:proofErr w:type="gramEnd"/>
      <w:r w:rsidR="00EB2AFE" w:rsidRPr="00EB2AFE">
        <w:t xml:space="preserve"> правил дорожного движения комплексной информационной системы видеонаблюдения Волгоградской области и пр. с объёмом расходов 864</w:t>
      </w:r>
      <w:r w:rsidR="00EB2AFE">
        <w:t> </w:t>
      </w:r>
      <w:r w:rsidR="00EB2AFE" w:rsidRPr="00EB2AFE">
        <w:t>664,3 тыс. рублей.</w:t>
      </w:r>
    </w:p>
    <w:p w:rsidR="00EB2AFE" w:rsidRPr="00EB2AFE" w:rsidRDefault="00F35134" w:rsidP="00EB2AFE">
      <w:pPr>
        <w:autoSpaceDE w:val="0"/>
        <w:autoSpaceDN w:val="0"/>
        <w:adjustRightInd w:val="0"/>
        <w:ind w:firstLine="709"/>
        <w:jc w:val="both"/>
      </w:pPr>
      <w:r w:rsidRPr="00EB2AFE">
        <w:rPr>
          <w:rFonts w:eastAsiaTheme="minorHAnsi"/>
          <w:lang w:eastAsia="en-US"/>
        </w:rPr>
        <w:t xml:space="preserve">Комитет </w:t>
      </w:r>
      <w:r w:rsidR="00EB2AFE" w:rsidRPr="00EB2AFE">
        <w:rPr>
          <w:rFonts w:eastAsiaTheme="minorHAnsi"/>
          <w:lang w:eastAsia="en-US"/>
        </w:rPr>
        <w:t xml:space="preserve">также </w:t>
      </w:r>
      <w:r w:rsidRPr="00EB2AFE">
        <w:rPr>
          <w:rFonts w:eastAsiaTheme="minorHAnsi"/>
          <w:lang w:eastAsia="en-US"/>
        </w:rPr>
        <w:t xml:space="preserve">отвечает за достижение </w:t>
      </w:r>
      <w:r w:rsidRPr="00EB2AFE">
        <w:t>целев</w:t>
      </w:r>
      <w:r w:rsidR="00EB2AFE" w:rsidRPr="00EB2AFE">
        <w:t>ых</w:t>
      </w:r>
      <w:r w:rsidRPr="00EB2AFE">
        <w:t xml:space="preserve"> показател</w:t>
      </w:r>
      <w:r w:rsidR="00EB2AFE" w:rsidRPr="00EB2AFE">
        <w:t>ей</w:t>
      </w:r>
      <w:r w:rsidRPr="00EB2AFE">
        <w:t xml:space="preserve"> ГП «Энергосбережение» и ГП «Село»</w:t>
      </w:r>
      <w:r w:rsidR="00EB2AFE" w:rsidRPr="00EB2AFE">
        <w:t xml:space="preserve"> (по одному в каждой программе)</w:t>
      </w:r>
      <w:r w:rsidRPr="00EB2AFE">
        <w:t xml:space="preserve">. </w:t>
      </w:r>
    </w:p>
    <w:p w:rsidR="00187ABA" w:rsidRPr="00EB2AFE" w:rsidRDefault="00F35134" w:rsidP="00EB2A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B2AFE">
        <w:t xml:space="preserve">По итогам 2019 года не достигнуты целевые значения </w:t>
      </w:r>
      <w:r w:rsidR="00B903B3" w:rsidRPr="00EB2AFE">
        <w:t>десяти</w:t>
      </w:r>
      <w:r w:rsidRPr="00EB2AFE">
        <w:t xml:space="preserve"> показателей.</w:t>
      </w:r>
    </w:p>
    <w:p w:rsidR="00572B38" w:rsidRDefault="00572B38" w:rsidP="00EB2AFE">
      <w:pPr>
        <w:autoSpaceDE w:val="0"/>
        <w:autoSpaceDN w:val="0"/>
        <w:adjustRightInd w:val="0"/>
        <w:ind w:firstLine="709"/>
        <w:jc w:val="both"/>
      </w:pPr>
      <w:r w:rsidRPr="00EB2AFE">
        <w:t xml:space="preserve">Обобщённая информация о достигнутых результатах представлена в таблице, развернутая – в </w:t>
      </w:r>
      <w:r w:rsidRPr="00853DF4">
        <w:t>Приложении № 3.</w:t>
      </w:r>
    </w:p>
    <w:p w:rsidR="000A078C" w:rsidRDefault="000A078C" w:rsidP="00EB2AFE">
      <w:pPr>
        <w:autoSpaceDE w:val="0"/>
        <w:autoSpaceDN w:val="0"/>
        <w:adjustRightInd w:val="0"/>
        <w:ind w:firstLine="709"/>
        <w:jc w:val="both"/>
      </w:pPr>
    </w:p>
    <w:tbl>
      <w:tblPr>
        <w:tblW w:w="499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504"/>
        <w:gridCol w:w="967"/>
        <w:gridCol w:w="902"/>
        <w:gridCol w:w="859"/>
        <w:gridCol w:w="2618"/>
      </w:tblGrid>
      <w:tr w:rsidR="00187ABA" w:rsidRPr="00443EC6" w:rsidTr="00932246">
        <w:trPr>
          <w:trHeight w:val="299"/>
          <w:tblHeader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87ABA" w:rsidRDefault="00187ABA" w:rsidP="00F35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достигнуты плановые значения</w:t>
            </w:r>
            <w:r w:rsidR="009E10F5">
              <w:rPr>
                <w:b/>
                <w:sz w:val="20"/>
                <w:szCs w:val="20"/>
              </w:rPr>
              <w:t xml:space="preserve"> целевых показателей</w:t>
            </w:r>
          </w:p>
        </w:tc>
      </w:tr>
      <w:tr w:rsidR="00187ABA" w:rsidRPr="00443EC6" w:rsidTr="00932246">
        <w:trPr>
          <w:trHeight w:val="299"/>
          <w:tblHeader/>
        </w:trPr>
        <w:tc>
          <w:tcPr>
            <w:tcW w:w="2286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187ABA" w:rsidRPr="002E7CDD" w:rsidRDefault="00187ABA" w:rsidP="009E10F5">
            <w:pPr>
              <w:jc w:val="center"/>
              <w:rPr>
                <w:b/>
                <w:sz w:val="20"/>
                <w:szCs w:val="20"/>
              </w:rPr>
            </w:pPr>
            <w:r w:rsidRPr="002E7CD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91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187ABA" w:rsidRPr="00BC3D00" w:rsidRDefault="00187ABA" w:rsidP="00F351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  <w:r w:rsidRPr="00BC3D00"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.</w:t>
            </w:r>
            <w:r w:rsidRPr="00BC3D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C3D00">
              <w:rPr>
                <w:b/>
                <w:sz w:val="16"/>
                <w:szCs w:val="16"/>
              </w:rPr>
              <w:t>изм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8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187ABA" w:rsidRPr="004F597C" w:rsidRDefault="00187ABA" w:rsidP="00F35134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436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187ABA" w:rsidRPr="004F597C" w:rsidRDefault="00EB2AFE" w:rsidP="00F35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329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</w:tcPr>
          <w:p w:rsidR="00187ABA" w:rsidRDefault="00A07918" w:rsidP="00F35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Причина </w:t>
            </w:r>
            <w:proofErr w:type="spellStart"/>
            <w:r>
              <w:rPr>
                <w:b/>
                <w:sz w:val="20"/>
                <w:szCs w:val="20"/>
              </w:rPr>
              <w:t>не</w:t>
            </w:r>
            <w:r w:rsidR="00187ABA">
              <w:rPr>
                <w:b/>
                <w:sz w:val="20"/>
                <w:szCs w:val="20"/>
              </w:rPr>
              <w:t>достижения</w:t>
            </w:r>
            <w:proofErr w:type="spellEnd"/>
          </w:p>
        </w:tc>
      </w:tr>
      <w:tr w:rsidR="009E10F5" w:rsidRPr="00443EC6" w:rsidTr="00932246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E10F5" w:rsidRPr="009E10F5" w:rsidRDefault="009E10F5" w:rsidP="009E10F5">
            <w:pPr>
              <w:jc w:val="center"/>
              <w:rPr>
                <w:b/>
                <w:sz w:val="18"/>
                <w:szCs w:val="18"/>
              </w:rPr>
            </w:pPr>
            <w:r w:rsidRPr="009E10F5">
              <w:rPr>
                <w:b/>
                <w:sz w:val="18"/>
                <w:szCs w:val="18"/>
              </w:rPr>
              <w:t>ГП «Транспорт»</w:t>
            </w:r>
          </w:p>
        </w:tc>
      </w:tr>
      <w:tr w:rsidR="009E10F5" w:rsidRPr="00443EC6" w:rsidTr="00932246">
        <w:tc>
          <w:tcPr>
            <w:tcW w:w="5000" w:type="pct"/>
            <w:gridSpan w:val="5"/>
            <w:tcBorders>
              <w:top w:val="double" w:sz="4" w:space="0" w:color="auto"/>
            </w:tcBorders>
            <w:shd w:val="clear" w:color="auto" w:fill="auto"/>
          </w:tcPr>
          <w:p w:rsidR="009E10F5" w:rsidRDefault="009E10F5" w:rsidP="009E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</w:t>
            </w:r>
          </w:p>
        </w:tc>
      </w:tr>
      <w:tr w:rsidR="00187ABA" w:rsidRPr="00443EC6" w:rsidTr="00B903B3">
        <w:tc>
          <w:tcPr>
            <w:tcW w:w="2286" w:type="pct"/>
            <w:shd w:val="clear" w:color="auto" w:fill="auto"/>
          </w:tcPr>
          <w:p w:rsidR="00187ABA" w:rsidRPr="00EF5C2A" w:rsidRDefault="00187ABA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Пассажирооборот автомобильного транспорта общего пользования</w:t>
            </w:r>
          </w:p>
        </w:tc>
        <w:tc>
          <w:tcPr>
            <w:tcW w:w="491" w:type="pct"/>
            <w:vAlign w:val="center"/>
          </w:tcPr>
          <w:p w:rsidR="00187ABA" w:rsidRPr="00316BA8" w:rsidRDefault="00187ABA" w:rsidP="00F3513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млн. место-км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640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634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187ABA" w:rsidRDefault="00187ABA" w:rsidP="00F35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неисправность транспортных средств, погодные условия.</w:t>
            </w:r>
          </w:p>
        </w:tc>
      </w:tr>
      <w:tr w:rsidR="00187ABA" w:rsidRPr="00443EC6" w:rsidTr="00B903B3">
        <w:tc>
          <w:tcPr>
            <w:tcW w:w="2286" w:type="pct"/>
            <w:shd w:val="clear" w:color="auto" w:fill="auto"/>
          </w:tcPr>
          <w:p w:rsidR="00187ABA" w:rsidRPr="00EF5C2A" w:rsidRDefault="00187ABA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Пассажирооборот пригородного железнодорожного транспорта общего пользования</w:t>
            </w:r>
          </w:p>
        </w:tc>
        <w:tc>
          <w:tcPr>
            <w:tcW w:w="491" w:type="pct"/>
            <w:vAlign w:val="center"/>
          </w:tcPr>
          <w:p w:rsidR="00187ABA" w:rsidRPr="00316BA8" w:rsidRDefault="00187ABA" w:rsidP="00F3513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млн. </w:t>
            </w:r>
            <w:proofErr w:type="spellStart"/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вагонн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о-км</w:t>
            </w:r>
            <w:proofErr w:type="spellEnd"/>
            <w:proofErr w:type="gramEnd"/>
          </w:p>
        </w:tc>
        <w:tc>
          <w:tcPr>
            <w:tcW w:w="458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5,6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5,52</w:t>
            </w: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187ABA" w:rsidRDefault="00187ABA" w:rsidP="00F35134">
            <w:pPr>
              <w:rPr>
                <w:sz w:val="18"/>
                <w:szCs w:val="18"/>
              </w:rPr>
            </w:pPr>
          </w:p>
        </w:tc>
      </w:tr>
      <w:tr w:rsidR="00187ABA" w:rsidRPr="00443EC6" w:rsidTr="00B903B3">
        <w:tc>
          <w:tcPr>
            <w:tcW w:w="2286" w:type="pct"/>
            <w:shd w:val="clear" w:color="auto" w:fill="auto"/>
          </w:tcPr>
          <w:p w:rsidR="00187ABA" w:rsidRPr="00EF5C2A" w:rsidRDefault="00187ABA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Количество выполненных субсидированных авиарейсов</w:t>
            </w:r>
          </w:p>
        </w:tc>
        <w:tc>
          <w:tcPr>
            <w:tcW w:w="491" w:type="pct"/>
            <w:vAlign w:val="center"/>
          </w:tcPr>
          <w:p w:rsidR="00187ABA" w:rsidRPr="0001758C" w:rsidRDefault="00187ABA" w:rsidP="00F35134">
            <w:pPr>
              <w:tabs>
                <w:tab w:val="left" w:pos="1005"/>
              </w:tabs>
              <w:ind w:left="-73" w:hanging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01758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732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715</w:t>
            </w: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187ABA" w:rsidRDefault="00187ABA" w:rsidP="00F35134">
            <w:pPr>
              <w:rPr>
                <w:sz w:val="18"/>
                <w:szCs w:val="18"/>
              </w:rPr>
            </w:pPr>
          </w:p>
        </w:tc>
      </w:tr>
      <w:tr w:rsidR="00187ABA" w:rsidRPr="00443EC6" w:rsidTr="00B903B3">
        <w:tc>
          <w:tcPr>
            <w:tcW w:w="2286" w:type="pct"/>
            <w:shd w:val="clear" w:color="auto" w:fill="auto"/>
          </w:tcPr>
          <w:p w:rsidR="00187ABA" w:rsidRPr="00A961ED" w:rsidRDefault="00187ABA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Прирост протяженности сети автомобильных дорог общего пользования регионального или межмуниципального, а также местного значения на территории Волгоградской области в результате строительства новых автомобильных дорог</w:t>
            </w:r>
          </w:p>
        </w:tc>
        <w:tc>
          <w:tcPr>
            <w:tcW w:w="491" w:type="pct"/>
            <w:vAlign w:val="center"/>
          </w:tcPr>
          <w:p w:rsidR="00187ABA" w:rsidRPr="00A961ED" w:rsidRDefault="00187ABA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км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13,197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8,585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187ABA" w:rsidRPr="000B56EC" w:rsidRDefault="00187ABA" w:rsidP="00F35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B56EC">
              <w:rPr>
                <w:sz w:val="18"/>
                <w:szCs w:val="18"/>
              </w:rPr>
              <w:t>е получено разрешение на ввод в эксплуатацию</w:t>
            </w:r>
            <w:proofErr w:type="gramStart"/>
            <w:r w:rsidRPr="000B56EC">
              <w:rPr>
                <w:sz w:val="18"/>
                <w:szCs w:val="18"/>
              </w:rPr>
              <w:t xml:space="preserve"> В</w:t>
            </w:r>
            <w:proofErr w:type="gramEnd"/>
            <w:r w:rsidRPr="000B56EC">
              <w:rPr>
                <w:sz w:val="18"/>
                <w:szCs w:val="18"/>
              </w:rPr>
              <w:t>торого пускового комплекса</w:t>
            </w:r>
            <w:r>
              <w:rPr>
                <w:sz w:val="18"/>
                <w:szCs w:val="18"/>
              </w:rPr>
              <w:t>. В</w:t>
            </w:r>
            <w:r w:rsidRPr="000B56EC">
              <w:rPr>
                <w:sz w:val="18"/>
                <w:szCs w:val="18"/>
              </w:rPr>
              <w:t>вод произведён 17.03.2020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9E10F5" w:rsidRPr="00443EC6" w:rsidTr="00B903B3">
        <w:tc>
          <w:tcPr>
            <w:tcW w:w="5000" w:type="pct"/>
            <w:gridSpan w:val="5"/>
            <w:shd w:val="clear" w:color="auto" w:fill="auto"/>
          </w:tcPr>
          <w:p w:rsidR="009E10F5" w:rsidRDefault="009E10F5" w:rsidP="009E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и </w:t>
            </w:r>
            <w:proofErr w:type="spellStart"/>
            <w:r>
              <w:rPr>
                <w:sz w:val="18"/>
                <w:szCs w:val="18"/>
              </w:rPr>
              <w:t>Облкоминформтехнологии</w:t>
            </w:r>
            <w:proofErr w:type="spellEnd"/>
          </w:p>
        </w:tc>
      </w:tr>
      <w:tr w:rsidR="00187ABA" w:rsidRPr="00443EC6" w:rsidTr="00B903B3">
        <w:tc>
          <w:tcPr>
            <w:tcW w:w="2286" w:type="pct"/>
            <w:shd w:val="clear" w:color="auto" w:fill="auto"/>
          </w:tcPr>
          <w:p w:rsidR="00187ABA" w:rsidRDefault="00187ABA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Количество мест концентрации дорожно-транспортных происшествий (аварийно-опасных участков) на дорожной сети Волгоградской области</w:t>
            </w:r>
          </w:p>
        </w:tc>
        <w:tc>
          <w:tcPr>
            <w:tcW w:w="491" w:type="pct"/>
            <w:vAlign w:val="center"/>
          </w:tcPr>
          <w:p w:rsidR="00187ABA" w:rsidRPr="00EF5C2A" w:rsidRDefault="00187ABA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%</w:t>
            </w:r>
            <w:r w:rsidR="009E10F5">
              <w:rPr>
                <w:sz w:val="18"/>
                <w:szCs w:val="18"/>
              </w:rPr>
              <w:t xml:space="preserve">  (ед.)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87ABA" w:rsidRPr="00E94FBC" w:rsidRDefault="00187ABA" w:rsidP="00B903B3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86,9</w:t>
            </w:r>
            <w:r w:rsidR="009E10F5">
              <w:rPr>
                <w:sz w:val="20"/>
                <w:szCs w:val="20"/>
              </w:rPr>
              <w:t xml:space="preserve"> (</w:t>
            </w:r>
            <w:r w:rsidR="00B903B3">
              <w:rPr>
                <w:sz w:val="20"/>
                <w:szCs w:val="20"/>
              </w:rPr>
              <w:t>53</w:t>
            </w:r>
            <w:r w:rsidR="009E10F5">
              <w:rPr>
                <w:sz w:val="20"/>
                <w:szCs w:val="20"/>
              </w:rPr>
              <w:t>)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106,6</w:t>
            </w:r>
            <w:r w:rsidR="009E10F5">
              <w:rPr>
                <w:sz w:val="20"/>
                <w:szCs w:val="20"/>
              </w:rPr>
              <w:t xml:space="preserve"> (65)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187ABA" w:rsidRPr="000B56EC" w:rsidRDefault="007910CE" w:rsidP="00F35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87ABA">
              <w:rPr>
                <w:sz w:val="18"/>
                <w:szCs w:val="18"/>
              </w:rPr>
              <w:t xml:space="preserve">бразование и миграция. Из 65 мест 12 - </w:t>
            </w:r>
            <w:proofErr w:type="gramStart"/>
            <w:r w:rsidR="00187ABA">
              <w:rPr>
                <w:sz w:val="18"/>
                <w:szCs w:val="18"/>
              </w:rPr>
              <w:t>стабильные</w:t>
            </w:r>
            <w:proofErr w:type="gramEnd"/>
            <w:r w:rsidR="00187ABA">
              <w:rPr>
                <w:sz w:val="18"/>
                <w:szCs w:val="18"/>
              </w:rPr>
              <w:t>, 13 – мигрирующие, 40 – вновь</w:t>
            </w:r>
            <w:r w:rsidR="00A07918">
              <w:rPr>
                <w:sz w:val="18"/>
                <w:szCs w:val="18"/>
              </w:rPr>
              <w:t xml:space="preserve"> </w:t>
            </w:r>
            <w:r w:rsidR="00187ABA">
              <w:rPr>
                <w:sz w:val="18"/>
                <w:szCs w:val="18"/>
              </w:rPr>
              <w:t>образовавшиеся.</w:t>
            </w:r>
          </w:p>
        </w:tc>
      </w:tr>
      <w:tr w:rsidR="00187ABA" w:rsidRPr="00443EC6" w:rsidTr="00B903B3">
        <w:tc>
          <w:tcPr>
            <w:tcW w:w="2286" w:type="pct"/>
            <w:shd w:val="clear" w:color="auto" w:fill="auto"/>
          </w:tcPr>
          <w:p w:rsidR="00187ABA" w:rsidRPr="006B0727" w:rsidRDefault="00187ABA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>Число лиц, погибших в дорожно-транспортных происшествиях</w:t>
            </w:r>
          </w:p>
        </w:tc>
        <w:tc>
          <w:tcPr>
            <w:tcW w:w="491" w:type="pct"/>
            <w:vAlign w:val="center"/>
          </w:tcPr>
          <w:p w:rsidR="00187ABA" w:rsidRDefault="00187ABA" w:rsidP="00F35134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r w:rsidRPr="00535C1B">
              <w:rPr>
                <w:rFonts w:eastAsiaTheme="minorHAnsi"/>
                <w:sz w:val="18"/>
                <w:szCs w:val="18"/>
                <w:lang w:eastAsia="en-US"/>
              </w:rPr>
              <w:t>ел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230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286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187ABA" w:rsidRDefault="00187ABA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B56EC">
              <w:rPr>
                <w:sz w:val="18"/>
                <w:szCs w:val="18"/>
                <w:lang w:eastAsia="en-US"/>
              </w:rPr>
              <w:t>арушение ПДД участниками движения</w:t>
            </w:r>
          </w:p>
        </w:tc>
      </w:tr>
      <w:tr w:rsidR="00187ABA" w:rsidRPr="00443EC6" w:rsidTr="00B903B3">
        <w:tc>
          <w:tcPr>
            <w:tcW w:w="2286" w:type="pct"/>
            <w:shd w:val="clear" w:color="auto" w:fill="auto"/>
          </w:tcPr>
          <w:p w:rsidR="00187ABA" w:rsidRPr="006B0727" w:rsidRDefault="00187ABA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491" w:type="pct"/>
            <w:vAlign w:val="center"/>
          </w:tcPr>
          <w:p w:rsidR="00187ABA" w:rsidRDefault="00187ABA" w:rsidP="00F35134">
            <w:pPr>
              <w:jc w:val="center"/>
            </w:pPr>
            <w:r w:rsidRPr="00EF5C2A">
              <w:rPr>
                <w:sz w:val="18"/>
                <w:szCs w:val="18"/>
              </w:rPr>
              <w:t>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10,9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87ABA" w:rsidRPr="00E94FBC" w:rsidRDefault="00187ABA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11,37</w:t>
            </w:r>
          </w:p>
        </w:tc>
        <w:tc>
          <w:tcPr>
            <w:tcW w:w="1329" w:type="pct"/>
            <w:vMerge/>
            <w:shd w:val="clear" w:color="auto" w:fill="auto"/>
          </w:tcPr>
          <w:p w:rsidR="00187ABA" w:rsidRDefault="00187ABA" w:rsidP="00F35134">
            <w:pPr>
              <w:jc w:val="center"/>
              <w:rPr>
                <w:sz w:val="18"/>
              </w:rPr>
            </w:pPr>
          </w:p>
        </w:tc>
      </w:tr>
      <w:tr w:rsidR="009E10F5" w:rsidRPr="00443EC6" w:rsidTr="00B903B3">
        <w:tc>
          <w:tcPr>
            <w:tcW w:w="2286" w:type="pct"/>
            <w:shd w:val="clear" w:color="auto" w:fill="auto"/>
          </w:tcPr>
          <w:p w:rsidR="009E10F5" w:rsidRPr="006B0727" w:rsidRDefault="009E10F5" w:rsidP="008A74D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 xml:space="preserve">Доля грузовых транспортных средств, перевозящих грузы с превышением допустимых весовых и габаритных параметров без возмещения вреда, причиняемого автомобильным дорогам </w:t>
            </w:r>
            <w:r w:rsidR="008A74D9">
              <w:rPr>
                <w:rFonts w:eastAsiaTheme="minorHAnsi"/>
                <w:sz w:val="18"/>
                <w:szCs w:val="18"/>
                <w:lang w:eastAsia="en-US"/>
              </w:rPr>
              <w:t>…</w:t>
            </w:r>
            <w:r w:rsidRPr="006B0727">
              <w:rPr>
                <w:rFonts w:eastAsiaTheme="minorHAnsi"/>
                <w:sz w:val="18"/>
                <w:szCs w:val="18"/>
                <w:lang w:eastAsia="en-US"/>
              </w:rPr>
              <w:t>, в общем объеме перевозок по автомобильным дорогам общего пользования регионального или межмуниципального, местного значения Волгоградской области</w:t>
            </w:r>
          </w:p>
        </w:tc>
        <w:tc>
          <w:tcPr>
            <w:tcW w:w="491" w:type="pct"/>
            <w:vAlign w:val="center"/>
          </w:tcPr>
          <w:p w:rsidR="009E10F5" w:rsidRDefault="009E10F5" w:rsidP="00B63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E10F5" w:rsidRDefault="009E10F5" w:rsidP="00B638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E10F5" w:rsidRDefault="009E10F5" w:rsidP="009E10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29" w:type="pct"/>
            <w:shd w:val="clear" w:color="auto" w:fill="auto"/>
          </w:tcPr>
          <w:p w:rsidR="009E10F5" w:rsidRPr="009E10F5" w:rsidRDefault="009E10F5" w:rsidP="00853DF4">
            <w:pPr>
              <w:rPr>
                <w:sz w:val="18"/>
              </w:rPr>
            </w:pPr>
            <w:r>
              <w:rPr>
                <w:sz w:val="18"/>
                <w:szCs w:val="18"/>
              </w:rPr>
              <w:t>О</w:t>
            </w:r>
            <w:r w:rsidRPr="009E10F5">
              <w:rPr>
                <w:sz w:val="18"/>
                <w:szCs w:val="18"/>
              </w:rPr>
              <w:t xml:space="preserve">пределить значение показателя невозможно в связи с отсутствием инструмента оценки – не </w:t>
            </w:r>
            <w:proofErr w:type="gramStart"/>
            <w:r w:rsidRPr="009E10F5">
              <w:rPr>
                <w:sz w:val="18"/>
                <w:szCs w:val="18"/>
              </w:rPr>
              <w:t>построена</w:t>
            </w:r>
            <w:proofErr w:type="gramEnd"/>
            <w:r w:rsidRPr="009E10F5">
              <w:rPr>
                <w:sz w:val="18"/>
                <w:szCs w:val="18"/>
              </w:rPr>
              <w:t xml:space="preserve"> </w:t>
            </w:r>
            <w:r w:rsidR="00853DF4">
              <w:rPr>
                <w:sz w:val="18"/>
                <w:szCs w:val="18"/>
              </w:rPr>
              <w:t>АСВГК</w:t>
            </w:r>
            <w:r>
              <w:rPr>
                <w:sz w:val="18"/>
                <w:szCs w:val="18"/>
              </w:rPr>
              <w:t>.</w:t>
            </w:r>
          </w:p>
        </w:tc>
      </w:tr>
      <w:tr w:rsidR="009E10F5" w:rsidRPr="00443EC6" w:rsidTr="00B903B3">
        <w:tc>
          <w:tcPr>
            <w:tcW w:w="5000" w:type="pct"/>
            <w:gridSpan w:val="5"/>
            <w:shd w:val="clear" w:color="auto" w:fill="auto"/>
          </w:tcPr>
          <w:p w:rsidR="009E10F5" w:rsidRPr="000B56EC" w:rsidRDefault="009E10F5" w:rsidP="009E10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Облкоминформтехнологии</w:t>
            </w:r>
            <w:proofErr w:type="spellEnd"/>
          </w:p>
        </w:tc>
      </w:tr>
      <w:tr w:rsidR="009E10F5" w:rsidRPr="00443EC6" w:rsidTr="00B903B3">
        <w:tc>
          <w:tcPr>
            <w:tcW w:w="2286" w:type="pct"/>
            <w:shd w:val="clear" w:color="auto" w:fill="auto"/>
          </w:tcPr>
          <w:p w:rsidR="009E10F5" w:rsidRPr="006B0727" w:rsidRDefault="009E10F5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Количество автоматических пунктов весогабаритного контроля транспортных средств, размещенных на автомобильных дорогах регионального или межмуниципального, местного значения</w:t>
            </w:r>
          </w:p>
        </w:tc>
        <w:tc>
          <w:tcPr>
            <w:tcW w:w="491" w:type="pct"/>
            <w:vAlign w:val="center"/>
          </w:tcPr>
          <w:p w:rsidR="009E10F5" w:rsidRDefault="009E10F5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E10F5" w:rsidRPr="00E94FBC" w:rsidRDefault="009E10F5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E10F5" w:rsidRPr="00E94FBC" w:rsidRDefault="009E10F5" w:rsidP="00F35134">
            <w:pPr>
              <w:jc w:val="center"/>
              <w:rPr>
                <w:sz w:val="20"/>
                <w:szCs w:val="20"/>
              </w:rPr>
            </w:pPr>
            <w:r w:rsidRPr="00E94FBC">
              <w:rPr>
                <w:sz w:val="20"/>
                <w:szCs w:val="20"/>
              </w:rPr>
              <w:t>0</w:t>
            </w:r>
          </w:p>
        </w:tc>
        <w:tc>
          <w:tcPr>
            <w:tcW w:w="1329" w:type="pct"/>
            <w:shd w:val="clear" w:color="auto" w:fill="auto"/>
          </w:tcPr>
          <w:p w:rsidR="00B44AEC" w:rsidRPr="000B56EC" w:rsidRDefault="009E10F5" w:rsidP="00F35134">
            <w:pPr>
              <w:rPr>
                <w:sz w:val="18"/>
                <w:szCs w:val="18"/>
              </w:rPr>
            </w:pPr>
            <w:r w:rsidRPr="000B56EC">
              <w:rPr>
                <w:sz w:val="18"/>
                <w:szCs w:val="18"/>
              </w:rPr>
              <w:t xml:space="preserve">Неисполнение подрядчиком обязательств. </w:t>
            </w:r>
            <w:proofErr w:type="spellStart"/>
            <w:r w:rsidRPr="000B56EC"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>с</w:t>
            </w:r>
            <w:r w:rsidRPr="000B56EC">
              <w:rPr>
                <w:sz w:val="18"/>
                <w:szCs w:val="18"/>
              </w:rPr>
              <w:t>контракт</w:t>
            </w:r>
            <w:proofErr w:type="spellEnd"/>
            <w:r w:rsidRPr="000B56EC">
              <w:rPr>
                <w:sz w:val="18"/>
                <w:szCs w:val="18"/>
              </w:rPr>
              <w:t xml:space="preserve"> </w:t>
            </w:r>
            <w:proofErr w:type="gramStart"/>
            <w:r w:rsidRPr="000B56EC">
              <w:rPr>
                <w:sz w:val="18"/>
                <w:szCs w:val="18"/>
              </w:rPr>
              <w:t>расторгнут и заключён</w:t>
            </w:r>
            <w:proofErr w:type="gramEnd"/>
            <w:r w:rsidRPr="000B56EC">
              <w:rPr>
                <w:sz w:val="18"/>
                <w:szCs w:val="18"/>
              </w:rPr>
              <w:t xml:space="preserve"> новый контракт. Срок ввода системы в эксплуатацию перенесён с 04.12.2019 на 01.07.2020</w:t>
            </w:r>
            <w:r>
              <w:rPr>
                <w:sz w:val="18"/>
                <w:szCs w:val="18"/>
              </w:rPr>
              <w:t>.</w:t>
            </w:r>
          </w:p>
        </w:tc>
      </w:tr>
      <w:tr w:rsidR="00B903B3" w:rsidRPr="00443EC6" w:rsidTr="00B903B3">
        <w:tc>
          <w:tcPr>
            <w:tcW w:w="5000" w:type="pct"/>
            <w:gridSpan w:val="5"/>
            <w:shd w:val="clear" w:color="auto" w:fill="auto"/>
          </w:tcPr>
          <w:p w:rsidR="00B903B3" w:rsidRPr="00B903B3" w:rsidRDefault="00B903B3" w:rsidP="00B903B3">
            <w:pPr>
              <w:jc w:val="center"/>
              <w:rPr>
                <w:b/>
                <w:sz w:val="18"/>
                <w:szCs w:val="18"/>
              </w:rPr>
            </w:pPr>
            <w:r w:rsidRPr="00B903B3">
              <w:rPr>
                <w:b/>
                <w:sz w:val="18"/>
                <w:szCs w:val="18"/>
              </w:rPr>
              <w:lastRenderedPageBreak/>
              <w:t>ГП «Село»</w:t>
            </w:r>
          </w:p>
        </w:tc>
      </w:tr>
      <w:tr w:rsidR="009E10F5" w:rsidRPr="00443EC6" w:rsidTr="00B903B3">
        <w:tc>
          <w:tcPr>
            <w:tcW w:w="2286" w:type="pct"/>
            <w:shd w:val="clear" w:color="auto" w:fill="auto"/>
          </w:tcPr>
          <w:p w:rsidR="009E10F5" w:rsidRPr="00B903B3" w:rsidRDefault="00B903B3" w:rsidP="00B638D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903B3">
              <w:rPr>
                <w:sz w:val="18"/>
                <w:szCs w:val="18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91" w:type="pct"/>
            <w:vAlign w:val="center"/>
          </w:tcPr>
          <w:p w:rsidR="009E10F5" w:rsidRDefault="00B903B3" w:rsidP="00B63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E10F5" w:rsidRDefault="00B903B3" w:rsidP="00B638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10,133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9E10F5" w:rsidRDefault="00B903B3" w:rsidP="00B638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9,386</w:t>
            </w:r>
          </w:p>
        </w:tc>
        <w:tc>
          <w:tcPr>
            <w:tcW w:w="1329" w:type="pct"/>
            <w:shd w:val="clear" w:color="auto" w:fill="auto"/>
          </w:tcPr>
          <w:p w:rsidR="00B903B3" w:rsidRDefault="00B903B3" w:rsidP="00B90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903B3">
              <w:rPr>
                <w:sz w:val="18"/>
                <w:szCs w:val="18"/>
              </w:rPr>
              <w:t>е вв</w:t>
            </w:r>
            <w:r>
              <w:rPr>
                <w:sz w:val="18"/>
                <w:szCs w:val="18"/>
              </w:rPr>
              <w:t>е</w:t>
            </w:r>
            <w:r w:rsidRPr="00B903B3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ена</w:t>
            </w:r>
            <w:r w:rsidRPr="00B903B3">
              <w:rPr>
                <w:sz w:val="18"/>
                <w:szCs w:val="18"/>
              </w:rPr>
              <w:t xml:space="preserve"> в эксплуатацию одн</w:t>
            </w:r>
            <w:r w:rsidR="00A07918">
              <w:rPr>
                <w:sz w:val="18"/>
                <w:szCs w:val="18"/>
              </w:rPr>
              <w:t>а</w:t>
            </w:r>
            <w:r w:rsidRPr="00B903B3">
              <w:rPr>
                <w:sz w:val="18"/>
                <w:szCs w:val="18"/>
              </w:rPr>
              <w:t xml:space="preserve"> из шести, запланированных к строительству дорог</w:t>
            </w:r>
            <w:r>
              <w:rPr>
                <w:sz w:val="18"/>
                <w:szCs w:val="18"/>
              </w:rPr>
              <w:t xml:space="preserve"> </w:t>
            </w:r>
            <w:r w:rsidRPr="00B903B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Подъезд…</w:t>
            </w:r>
            <w:r w:rsidRPr="00B903B3">
              <w:rPr>
                <w:sz w:val="18"/>
                <w:szCs w:val="18"/>
              </w:rPr>
              <w:t xml:space="preserve"> </w:t>
            </w:r>
            <w:proofErr w:type="gramStart"/>
            <w:r w:rsidRPr="00B903B3">
              <w:rPr>
                <w:sz w:val="18"/>
                <w:szCs w:val="18"/>
              </w:rPr>
              <w:t>к</w:t>
            </w:r>
            <w:proofErr w:type="gramEnd"/>
            <w:r w:rsidRPr="00B903B3">
              <w:rPr>
                <w:sz w:val="18"/>
                <w:szCs w:val="18"/>
              </w:rPr>
              <w:t xml:space="preserve"> х. Попов»</w:t>
            </w:r>
            <w:r>
              <w:rPr>
                <w:sz w:val="18"/>
                <w:szCs w:val="18"/>
              </w:rPr>
              <w:t>.</w:t>
            </w:r>
          </w:p>
          <w:p w:rsidR="009E10F5" w:rsidRPr="00B903B3" w:rsidRDefault="00B903B3" w:rsidP="008C08B5">
            <w:pPr>
              <w:rPr>
                <w:sz w:val="18"/>
                <w:szCs w:val="18"/>
              </w:rPr>
            </w:pPr>
            <w:r w:rsidRPr="00B903B3">
              <w:rPr>
                <w:sz w:val="18"/>
                <w:szCs w:val="18"/>
              </w:rPr>
              <w:t xml:space="preserve">Ввод </w:t>
            </w:r>
            <w:r w:rsidR="008C08B5">
              <w:rPr>
                <w:sz w:val="18"/>
                <w:szCs w:val="18"/>
              </w:rPr>
              <w:t xml:space="preserve">произведён </w:t>
            </w:r>
            <w:r w:rsidR="008C08B5" w:rsidRPr="008C08B5">
              <w:rPr>
                <w:sz w:val="18"/>
                <w:szCs w:val="18"/>
              </w:rPr>
              <w:t>23</w:t>
            </w:r>
            <w:r w:rsidRPr="008C08B5">
              <w:rPr>
                <w:sz w:val="18"/>
                <w:szCs w:val="18"/>
              </w:rPr>
              <w:t>.0</w:t>
            </w:r>
            <w:r w:rsidR="008C08B5" w:rsidRPr="008C08B5">
              <w:rPr>
                <w:sz w:val="18"/>
                <w:szCs w:val="18"/>
              </w:rPr>
              <w:t>3</w:t>
            </w:r>
            <w:r w:rsidRPr="008C08B5">
              <w:rPr>
                <w:sz w:val="18"/>
                <w:szCs w:val="18"/>
              </w:rPr>
              <w:t>.2020.</w:t>
            </w:r>
          </w:p>
        </w:tc>
      </w:tr>
    </w:tbl>
    <w:p w:rsidR="00BD4A41" w:rsidRDefault="00BD4A41" w:rsidP="001C23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53DF4" w:rsidRDefault="00853DF4" w:rsidP="001C23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53DF4" w:rsidRDefault="00853DF4" w:rsidP="001C23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Достигнутое по итогам 2019 года значение целевого показателя </w:t>
      </w:r>
      <w:r w:rsidR="00383C11">
        <w:rPr>
          <w:rFonts w:eastAsiaTheme="minorHAnsi"/>
          <w:lang w:eastAsia="en-US"/>
        </w:rPr>
        <w:t>ГП «Транспорт» «</w:t>
      </w:r>
      <w:r w:rsidR="00383C11" w:rsidRPr="001C2337">
        <w:rPr>
          <w:rFonts w:eastAsiaTheme="minorHAnsi"/>
          <w:lang w:eastAsia="en-US"/>
        </w:rPr>
        <w:t>Доля автомобильных дорог регионального или межмуниципального значения, работающих в режиме перегрузки</w:t>
      </w:r>
      <w:r w:rsidR="00383C11">
        <w:rPr>
          <w:rFonts w:eastAsiaTheme="minorHAnsi"/>
          <w:lang w:eastAsia="en-US"/>
        </w:rPr>
        <w:t>»</w:t>
      </w:r>
      <w:r w:rsidR="00383C11" w:rsidRPr="00383C11">
        <w:rPr>
          <w:rFonts w:eastAsiaTheme="minorHAnsi"/>
          <w:lang w:eastAsia="en-US"/>
        </w:rPr>
        <w:t xml:space="preserve"> </w:t>
      </w:r>
      <w:r w:rsidR="00383C11">
        <w:rPr>
          <w:rFonts w:eastAsiaTheme="minorHAnsi"/>
          <w:lang w:eastAsia="en-US"/>
        </w:rPr>
        <w:t>составило 0,39 %, что значительно превышает как целевое значение на 2019 год (0,61%), так и целевое значение по результатам реализации программы в 2024 году (0,55 %).</w:t>
      </w:r>
    </w:p>
    <w:p w:rsidR="00765E53" w:rsidRDefault="00881055" w:rsidP="001C23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C2337">
        <w:rPr>
          <w:rFonts w:eastAsiaTheme="minorHAnsi"/>
          <w:lang w:eastAsia="en-US"/>
        </w:rPr>
        <w:t xml:space="preserve">В нарушение п. </w:t>
      </w:r>
      <w:r w:rsidR="001C2337">
        <w:rPr>
          <w:rFonts w:eastAsiaTheme="minorHAnsi"/>
          <w:lang w:eastAsia="en-US"/>
        </w:rPr>
        <w:t xml:space="preserve">2.5 </w:t>
      </w:r>
      <w:r w:rsidR="001C2337" w:rsidRPr="001C2337">
        <w:rPr>
          <w:rFonts w:eastAsiaTheme="minorHAnsi"/>
          <w:lang w:eastAsia="en-US"/>
        </w:rPr>
        <w:t>Порядка разработки, реализации и оценки эффективности реализации государственных программ Волгоградской области</w:t>
      </w:r>
      <w:r w:rsidR="001C2337">
        <w:rPr>
          <w:rFonts w:eastAsiaTheme="minorHAnsi"/>
          <w:lang w:eastAsia="en-US"/>
        </w:rPr>
        <w:t>, утверждённого</w:t>
      </w:r>
      <w:r w:rsidR="00D01E85">
        <w:rPr>
          <w:rFonts w:eastAsiaTheme="minorHAnsi"/>
          <w:lang w:eastAsia="en-US"/>
        </w:rPr>
        <w:t xml:space="preserve"> </w:t>
      </w:r>
      <w:r w:rsidR="001C2337">
        <w:rPr>
          <w:rFonts w:eastAsiaTheme="minorHAnsi"/>
          <w:lang w:eastAsia="en-US"/>
        </w:rPr>
        <w:t>п</w:t>
      </w:r>
      <w:r w:rsidR="001C2337" w:rsidRPr="001C2337">
        <w:rPr>
          <w:rFonts w:eastAsiaTheme="minorHAnsi"/>
          <w:lang w:eastAsia="en-US"/>
        </w:rPr>
        <w:t>остановление</w:t>
      </w:r>
      <w:r w:rsidR="001C2337">
        <w:rPr>
          <w:rFonts w:eastAsiaTheme="minorHAnsi"/>
          <w:lang w:eastAsia="en-US"/>
        </w:rPr>
        <w:t>м</w:t>
      </w:r>
      <w:r w:rsidR="001C2337" w:rsidRPr="001C2337">
        <w:rPr>
          <w:rFonts w:eastAsiaTheme="minorHAnsi"/>
          <w:lang w:eastAsia="en-US"/>
        </w:rPr>
        <w:t xml:space="preserve"> Правительства Волгоградской обл</w:t>
      </w:r>
      <w:r w:rsidR="001C2337">
        <w:rPr>
          <w:rFonts w:eastAsiaTheme="minorHAnsi"/>
          <w:lang w:eastAsia="en-US"/>
        </w:rPr>
        <w:t>асти</w:t>
      </w:r>
      <w:r w:rsidR="001C2337" w:rsidRPr="001C2337">
        <w:rPr>
          <w:rFonts w:eastAsiaTheme="minorHAnsi"/>
          <w:lang w:eastAsia="en-US"/>
        </w:rPr>
        <w:t xml:space="preserve"> от 27.08.2013 </w:t>
      </w:r>
      <w:r w:rsidR="00853DF4">
        <w:rPr>
          <w:rFonts w:eastAsiaTheme="minorHAnsi"/>
          <w:lang w:eastAsia="en-US"/>
        </w:rPr>
        <w:t>№</w:t>
      </w:r>
      <w:r w:rsidR="001C2337" w:rsidRPr="001C2337">
        <w:rPr>
          <w:rFonts w:eastAsiaTheme="minorHAnsi"/>
          <w:lang w:eastAsia="en-US"/>
        </w:rPr>
        <w:t xml:space="preserve"> 423-п</w:t>
      </w:r>
      <w:r w:rsidR="001C4B9A">
        <w:rPr>
          <w:rFonts w:eastAsiaTheme="minorHAnsi"/>
          <w:lang w:eastAsia="en-US"/>
        </w:rPr>
        <w:t xml:space="preserve"> (далее – Порядок № 423-п)</w:t>
      </w:r>
      <w:r w:rsidR="001C2337">
        <w:rPr>
          <w:rFonts w:eastAsiaTheme="minorHAnsi"/>
          <w:lang w:eastAsia="en-US"/>
        </w:rPr>
        <w:t xml:space="preserve">, </w:t>
      </w:r>
      <w:r w:rsidR="00383C11">
        <w:rPr>
          <w:rFonts w:eastAsiaTheme="minorHAnsi"/>
          <w:lang w:eastAsia="en-US"/>
        </w:rPr>
        <w:t>указанный целевой показатель</w:t>
      </w:r>
      <w:r w:rsidR="001C2337">
        <w:rPr>
          <w:rFonts w:eastAsiaTheme="minorHAnsi"/>
          <w:lang w:eastAsia="en-US"/>
        </w:rPr>
        <w:t xml:space="preserve"> не отвечает требованию сопоставимости – не сопос</w:t>
      </w:r>
      <w:r w:rsidR="00D7622D">
        <w:rPr>
          <w:rFonts w:eastAsiaTheme="minorHAnsi"/>
          <w:lang w:eastAsia="en-US"/>
        </w:rPr>
        <w:t xml:space="preserve">тавим с целевым показателем НП </w:t>
      </w:r>
      <w:r w:rsidR="001C2337">
        <w:rPr>
          <w:rFonts w:eastAsiaTheme="minorHAnsi"/>
          <w:lang w:eastAsia="en-US"/>
        </w:rPr>
        <w:t>БКАД и п</w:t>
      </w:r>
      <w:r w:rsidR="001C2337" w:rsidRPr="001C2337">
        <w:rPr>
          <w:rFonts w:eastAsiaTheme="minorHAnsi"/>
          <w:lang w:eastAsia="en-US"/>
        </w:rPr>
        <w:t>оказател</w:t>
      </w:r>
      <w:r w:rsidR="001C2337">
        <w:rPr>
          <w:rFonts w:eastAsiaTheme="minorHAnsi"/>
          <w:lang w:eastAsia="en-US"/>
        </w:rPr>
        <w:t>ем</w:t>
      </w:r>
      <w:r w:rsidR="001C2337" w:rsidRPr="001C2337">
        <w:rPr>
          <w:rFonts w:eastAsiaTheme="minorHAnsi"/>
          <w:lang w:eastAsia="en-US"/>
        </w:rPr>
        <w:t xml:space="preserve"> федерального проекта по субъекту Российской Федерации</w:t>
      </w:r>
      <w:r w:rsidR="001C2337">
        <w:rPr>
          <w:rFonts w:eastAsiaTheme="minorHAnsi"/>
          <w:lang w:eastAsia="en-US"/>
        </w:rPr>
        <w:t>, закреплённом в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Соглашени</w:t>
      </w:r>
      <w:r w:rsidR="001C2337">
        <w:rPr>
          <w:rFonts w:eastAsiaTheme="minorHAnsi"/>
          <w:lang w:eastAsia="en-US"/>
        </w:rPr>
        <w:t xml:space="preserve">и </w:t>
      </w:r>
      <w:r w:rsidR="001C2337" w:rsidRPr="001C2337">
        <w:rPr>
          <w:rFonts w:eastAsiaTheme="minorHAnsi"/>
          <w:lang w:eastAsia="en-US"/>
        </w:rPr>
        <w:t>о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реализации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регионального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проекта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«Программа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дорожной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деятельности Волгоградской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области</w:t>
      </w:r>
      <w:proofErr w:type="gramEnd"/>
      <w:r w:rsidR="001C2337" w:rsidRPr="001C2337">
        <w:rPr>
          <w:rFonts w:eastAsiaTheme="minorHAnsi"/>
          <w:lang w:eastAsia="en-US"/>
        </w:rPr>
        <w:t>»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(в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целях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реализации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федерального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проекта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>«Дорожная</w:t>
      </w:r>
      <w:r w:rsidR="00BD4A41">
        <w:rPr>
          <w:rFonts w:eastAsiaTheme="minorHAnsi"/>
          <w:lang w:eastAsia="en-US"/>
        </w:rPr>
        <w:t xml:space="preserve"> </w:t>
      </w:r>
      <w:r w:rsidR="001C2337" w:rsidRPr="001C2337">
        <w:rPr>
          <w:rFonts w:eastAsiaTheme="minorHAnsi"/>
          <w:lang w:eastAsia="en-US"/>
        </w:rPr>
        <w:t xml:space="preserve">сеть» </w:t>
      </w:r>
      <w:r w:rsidR="001C2337">
        <w:rPr>
          <w:rFonts w:eastAsiaTheme="minorHAnsi"/>
          <w:lang w:eastAsia="en-US"/>
        </w:rPr>
        <w:t>НП БКАД</w:t>
      </w:r>
      <w:r w:rsidR="001C2337" w:rsidRPr="001C2337">
        <w:rPr>
          <w:rFonts w:eastAsiaTheme="minorHAnsi"/>
          <w:lang w:eastAsia="en-US"/>
        </w:rPr>
        <w:t>)</w:t>
      </w:r>
      <w:r w:rsidR="001C2337">
        <w:rPr>
          <w:rFonts w:eastAsiaTheme="minorHAnsi"/>
          <w:lang w:eastAsia="en-US"/>
        </w:rPr>
        <w:t xml:space="preserve"> от 14.02.2019</w:t>
      </w:r>
      <w:r w:rsidR="001C2337" w:rsidRPr="001C2337">
        <w:rPr>
          <w:rFonts w:eastAsiaTheme="minorHAnsi"/>
          <w:lang w:eastAsia="en-US"/>
        </w:rPr>
        <w:t xml:space="preserve"> №103-2019-R10030-1</w:t>
      </w:r>
      <w:r w:rsidR="001C2337">
        <w:rPr>
          <w:rFonts w:eastAsiaTheme="minorHAnsi"/>
          <w:lang w:eastAsia="en-US"/>
        </w:rPr>
        <w:t>, - «</w:t>
      </w:r>
      <w:r w:rsidR="001C2337" w:rsidRPr="001C2337">
        <w:rPr>
          <w:rFonts w:eastAsiaTheme="minorHAnsi"/>
          <w:lang w:eastAsia="en-US"/>
        </w:rPr>
        <w:t>Доля автомобильных дорог федерального и регионального значения, работающих в режиме перегрузк</w:t>
      </w:r>
      <w:r w:rsidR="001C2337">
        <w:rPr>
          <w:rFonts w:eastAsiaTheme="minorHAnsi"/>
          <w:lang w:eastAsia="en-US"/>
        </w:rPr>
        <w:t>и»</w:t>
      </w:r>
      <w:r w:rsidR="00EE7B72">
        <w:rPr>
          <w:rFonts w:eastAsiaTheme="minorHAnsi"/>
          <w:lang w:eastAsia="en-US"/>
        </w:rPr>
        <w:t>.</w:t>
      </w:r>
    </w:p>
    <w:p w:rsidR="00EE7B72" w:rsidRDefault="00EE7B72" w:rsidP="001C23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Показатель ГП «Транспорт» не включает д</w:t>
      </w:r>
      <w:r w:rsidRPr="001C2337">
        <w:rPr>
          <w:rFonts w:eastAsiaTheme="minorHAnsi"/>
          <w:lang w:eastAsia="en-US"/>
        </w:rPr>
        <w:t>ол</w:t>
      </w:r>
      <w:r>
        <w:rPr>
          <w:rFonts w:eastAsiaTheme="minorHAnsi"/>
          <w:lang w:eastAsia="en-US"/>
        </w:rPr>
        <w:t>ю</w:t>
      </w:r>
      <w:r w:rsidRPr="001C2337">
        <w:rPr>
          <w:rFonts w:eastAsiaTheme="minorHAnsi"/>
          <w:lang w:eastAsia="en-US"/>
        </w:rPr>
        <w:t xml:space="preserve"> автомобильных дорог федерального значения, работающих в режиме перегрузк</w:t>
      </w:r>
      <w:r>
        <w:rPr>
          <w:rFonts w:eastAsiaTheme="minorHAnsi"/>
          <w:lang w:eastAsia="en-US"/>
        </w:rPr>
        <w:t>и. При этом базовое и целевые значени</w:t>
      </w:r>
      <w:r w:rsidR="00E3713C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показател</w:t>
      </w:r>
      <w:r w:rsidR="00383C11">
        <w:rPr>
          <w:rFonts w:eastAsiaTheme="minorHAnsi"/>
          <w:lang w:eastAsia="en-US"/>
        </w:rPr>
        <w:t>ей</w:t>
      </w:r>
      <w:r>
        <w:rPr>
          <w:rFonts w:eastAsiaTheme="minorHAnsi"/>
          <w:lang w:eastAsia="en-US"/>
        </w:rPr>
        <w:t xml:space="preserve"> </w:t>
      </w:r>
      <w:r w:rsidR="00A07918">
        <w:rPr>
          <w:rFonts w:eastAsiaTheme="minorHAnsi"/>
          <w:lang w:eastAsia="en-US"/>
        </w:rPr>
        <w:t xml:space="preserve">по годам </w:t>
      </w:r>
      <w:r>
        <w:rPr>
          <w:rFonts w:eastAsiaTheme="minorHAnsi"/>
          <w:lang w:eastAsia="en-US"/>
        </w:rPr>
        <w:t xml:space="preserve">одинаковы, что объясняет </w:t>
      </w:r>
      <w:r w:rsidR="00613546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достигнутое</w:t>
      </w:r>
      <w:r w:rsidR="0061354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отчётное значение показателя за 2019 год.</w:t>
      </w:r>
    </w:p>
    <w:p w:rsidR="001A4694" w:rsidRDefault="001A4694" w:rsidP="001C23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данным отчёта Сведения о НП БКАД за 2019 год (форма №1-БКАД)</w:t>
      </w:r>
      <w:r w:rsidR="00255B8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</w:t>
      </w:r>
      <w:r w:rsidRPr="001C2337">
        <w:rPr>
          <w:rFonts w:eastAsiaTheme="minorHAnsi"/>
          <w:lang w:eastAsia="en-US"/>
        </w:rPr>
        <w:t>оля автомобильных дорог федерального и регионального значения, работающих в режиме перегрузк</w:t>
      </w:r>
      <w:r>
        <w:rPr>
          <w:rFonts w:eastAsiaTheme="minorHAnsi"/>
          <w:lang w:eastAsia="en-US"/>
        </w:rPr>
        <w:t>и, по итогам 2019 год составила 0,59</w:t>
      </w:r>
      <w:r w:rsidR="00613546">
        <w:rPr>
          <w:rFonts w:eastAsiaTheme="minorHAnsi"/>
          <w:lang w:eastAsia="en-US"/>
        </w:rPr>
        <w:t>%, что также лучше планового значения показателя, закреплённого соглашением о реализации рег</w:t>
      </w:r>
      <w:r w:rsidR="00612849">
        <w:rPr>
          <w:rFonts w:eastAsiaTheme="minorHAnsi"/>
          <w:lang w:eastAsia="en-US"/>
        </w:rPr>
        <w:t xml:space="preserve">ионального </w:t>
      </w:r>
      <w:r w:rsidR="00255B8D">
        <w:rPr>
          <w:rFonts w:eastAsiaTheme="minorHAnsi"/>
          <w:lang w:eastAsia="en-US"/>
        </w:rPr>
        <w:t>проекта</w:t>
      </w:r>
      <w:r>
        <w:rPr>
          <w:rFonts w:eastAsiaTheme="minorHAnsi"/>
          <w:lang w:eastAsia="en-US"/>
        </w:rPr>
        <w:t>.</w:t>
      </w:r>
    </w:p>
    <w:p w:rsidR="00971C2E" w:rsidRPr="009B4729" w:rsidRDefault="00255B8D" w:rsidP="00971C2E">
      <w:pPr>
        <w:autoSpaceDE w:val="0"/>
        <w:autoSpaceDN w:val="0"/>
        <w:adjustRightInd w:val="0"/>
        <w:ind w:firstLine="709"/>
        <w:jc w:val="both"/>
      </w:pPr>
      <w:r>
        <w:t>Как сказано выше</w:t>
      </w:r>
      <w:r w:rsidR="007910CE">
        <w:t>,</w:t>
      </w:r>
      <w:r>
        <w:t xml:space="preserve"> в</w:t>
      </w:r>
      <w:r w:rsidR="00971C2E" w:rsidRPr="00B44ED9">
        <w:t xml:space="preserve"> рамках </w:t>
      </w:r>
      <w:r w:rsidR="00971C2E">
        <w:t>ГП «Транспорт»</w:t>
      </w:r>
      <w:r w:rsidR="00971C2E" w:rsidRPr="00B44ED9">
        <w:t xml:space="preserve"> реализуются региональные проекты в целях реализации </w:t>
      </w:r>
      <w:r w:rsidR="00971C2E">
        <w:t>НП БКАД</w:t>
      </w:r>
      <w:r w:rsidR="00971C2E" w:rsidRPr="009B4729">
        <w:t xml:space="preserve">, в </w:t>
      </w:r>
      <w:proofErr w:type="gramStart"/>
      <w:r w:rsidR="00971C2E" w:rsidRPr="009B4729">
        <w:t>связи</w:t>
      </w:r>
      <w:proofErr w:type="gramEnd"/>
      <w:r w:rsidR="00971C2E" w:rsidRPr="009B4729">
        <w:t xml:space="preserve"> с че</w:t>
      </w:r>
      <w:r w:rsidR="00971C2E">
        <w:t>м необходимо отметить следующее.</w:t>
      </w:r>
    </w:p>
    <w:p w:rsidR="00971C2E" w:rsidRPr="003B0ACB" w:rsidRDefault="00971C2E" w:rsidP="003B0ACB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bCs/>
          <w:iCs/>
        </w:rPr>
      </w:pPr>
      <w:proofErr w:type="spellStart"/>
      <w:proofErr w:type="gramStart"/>
      <w:r w:rsidRPr="009B4729">
        <w:t>Недостижение</w:t>
      </w:r>
      <w:proofErr w:type="spellEnd"/>
      <w:r w:rsidRPr="009B4729">
        <w:t xml:space="preserve"> в 2019 году целевых значений показателей ГП «Транспорт», характеризующих смертность на автомобильных дорогах</w:t>
      </w:r>
      <w:r>
        <w:t>,</w:t>
      </w:r>
      <w:r w:rsidRPr="009B4729">
        <w:t xml:space="preserve"> фактическое увеличение количества погибших (2018 год - 262, 2019 год - 286)</w:t>
      </w:r>
      <w:r>
        <w:t xml:space="preserve"> и количества мест концентрации ДТП (в абсолютных величинах план – 53, факт - 65) </w:t>
      </w:r>
      <w:r w:rsidRPr="009B4729">
        <w:t>остро ставит вопрос о достаточности (адекватности) мер, принимаемых для решения поставленных задач, и об эффективности использования бюджетных средств, направленных</w:t>
      </w:r>
      <w:r w:rsidR="00336562">
        <w:t xml:space="preserve"> в Волгоградской области на реализацию</w:t>
      </w:r>
      <w:proofErr w:type="gramEnd"/>
      <w:r w:rsidR="00336562">
        <w:t xml:space="preserve"> НП БКАД</w:t>
      </w:r>
      <w:r w:rsidRPr="009B4729">
        <w:t xml:space="preserve">. </w:t>
      </w:r>
      <w:r w:rsidRPr="003B0ACB">
        <w:t xml:space="preserve">Складывающаяся негативная динамика несёт существенные риски </w:t>
      </w:r>
      <w:proofErr w:type="spellStart"/>
      <w:r w:rsidRPr="003B0ACB">
        <w:t>недостижения</w:t>
      </w:r>
      <w:proofErr w:type="spellEnd"/>
      <w:r w:rsidRPr="003B0ACB">
        <w:t xml:space="preserve"> цели по с</w:t>
      </w:r>
      <w:r w:rsidRPr="003B0ACB">
        <w:rPr>
          <w:rFonts w:eastAsiaTheme="minorHAnsi"/>
          <w:bCs/>
          <w:iCs/>
        </w:rPr>
        <w:t xml:space="preserve">нижению смертности в результате дорожно-транспортных происшествий, определённой Указом Президента РФ от 07.05.2018 № 204 «О национальных целях и стратегических задачах развития Российской Федерации на период до 2024 года» и закреплённой </w:t>
      </w:r>
      <w:r w:rsidR="00383C11">
        <w:rPr>
          <w:rFonts w:eastAsiaTheme="minorHAnsi"/>
          <w:bCs/>
          <w:iCs/>
        </w:rPr>
        <w:t>НП БКАД</w:t>
      </w:r>
      <w:r w:rsidRPr="003B0ACB">
        <w:rPr>
          <w:rFonts w:eastAsiaTheme="minorHAnsi"/>
          <w:bCs/>
          <w:iCs/>
        </w:rPr>
        <w:t>.</w:t>
      </w:r>
    </w:p>
    <w:p w:rsidR="003B0ACB" w:rsidRPr="003B0ACB" w:rsidRDefault="00971C2E" w:rsidP="003B0ACB">
      <w:pPr>
        <w:ind w:firstLine="709"/>
        <w:jc w:val="both"/>
      </w:pPr>
      <w:r w:rsidRPr="003B0ACB">
        <w:t>Годовой доклад о ходе реализации и оценке эффективности реализации ГП «Транспорт»</w:t>
      </w:r>
      <w:r w:rsidR="003B0ACB" w:rsidRPr="003B0ACB">
        <w:t xml:space="preserve"> за 2019 год</w:t>
      </w:r>
      <w:r w:rsidRPr="003B0ACB">
        <w:t>,</w:t>
      </w:r>
      <w:r w:rsidR="003B0ACB" w:rsidRPr="003B0ACB">
        <w:t xml:space="preserve"> подготовленный Комитетом как ответственным исполнителем, не содержит анализ факторов, повлиявших на ход реализации программы в части достижения цели по сокращению смертности на дорогах. Сформулированные предложения по дальнейшей реализации программы не затрагивают указанной тематики.</w:t>
      </w:r>
    </w:p>
    <w:p w:rsidR="003B0ACB" w:rsidRPr="003B0ACB" w:rsidRDefault="003B0ACB" w:rsidP="003B0ACB">
      <w:pPr>
        <w:ind w:firstLine="709"/>
        <w:jc w:val="both"/>
      </w:pPr>
      <w:r>
        <w:t>Совокупность приведённых</w:t>
      </w:r>
      <w:r w:rsidRPr="003B0ACB">
        <w:t xml:space="preserve"> факт</w:t>
      </w:r>
      <w:r>
        <w:t>ов</w:t>
      </w:r>
      <w:r w:rsidRPr="003B0ACB">
        <w:t xml:space="preserve"> мо</w:t>
      </w:r>
      <w:r>
        <w:t>жет</w:t>
      </w:r>
      <w:r w:rsidRPr="003B0ACB">
        <w:t xml:space="preserve"> свидетельствовать о ненадлежащем исполнении Комитетом полномочий органа исполнительной власти Волгоградской области в </w:t>
      </w:r>
      <w:r w:rsidRPr="003B0ACB">
        <w:lastRenderedPageBreak/>
        <w:t>сфере транспорта и дорожного хозяйства, ответственного и непосредственного исполнителя ГП «Транспорт», главного распорядителя бюджетных средств</w:t>
      </w:r>
      <w:r w:rsidR="001C4B9A">
        <w:t>, установленных положением о Комитете, Порядком № 423-п, ст. 158 БК РФ</w:t>
      </w:r>
      <w:r w:rsidRPr="003B0ACB">
        <w:t xml:space="preserve">. </w:t>
      </w:r>
    </w:p>
    <w:p w:rsidR="00D8099F" w:rsidRDefault="00D8099F" w:rsidP="00D8099F">
      <w:pPr>
        <w:autoSpaceDE w:val="0"/>
        <w:autoSpaceDN w:val="0"/>
        <w:adjustRightInd w:val="0"/>
        <w:jc w:val="center"/>
        <w:rPr>
          <w:b/>
          <w:i/>
        </w:rPr>
      </w:pPr>
    </w:p>
    <w:p w:rsidR="00AE77BE" w:rsidRDefault="00D8099F" w:rsidP="00AE77BE">
      <w:pPr>
        <w:autoSpaceDE w:val="0"/>
        <w:autoSpaceDN w:val="0"/>
        <w:adjustRightInd w:val="0"/>
        <w:jc w:val="center"/>
        <w:rPr>
          <w:rFonts w:eastAsia="Calibri"/>
        </w:rPr>
      </w:pPr>
      <w:r w:rsidRPr="00C27898">
        <w:rPr>
          <w:b/>
          <w:i/>
        </w:rPr>
        <w:t>Организация</w:t>
      </w:r>
      <w:r w:rsidR="00255B8D">
        <w:rPr>
          <w:b/>
          <w:i/>
        </w:rPr>
        <w:t xml:space="preserve"> </w:t>
      </w:r>
      <w:r w:rsidRPr="00C27898">
        <w:rPr>
          <w:b/>
          <w:i/>
        </w:rPr>
        <w:t>внутреннего финансового аудита</w:t>
      </w:r>
    </w:p>
    <w:p w:rsidR="00AE77BE" w:rsidRDefault="00AE77BE" w:rsidP="00AE77B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B736E">
        <w:rPr>
          <w:rFonts w:eastAsia="Calibri"/>
        </w:rPr>
        <w:t xml:space="preserve">В структуру </w:t>
      </w:r>
      <w:r>
        <w:rPr>
          <w:rFonts w:eastAsia="Calibri"/>
        </w:rPr>
        <w:t>Комитета</w:t>
      </w:r>
      <w:r w:rsidRPr="00DB736E">
        <w:rPr>
          <w:rFonts w:eastAsia="Calibri"/>
        </w:rPr>
        <w:t xml:space="preserve"> входит сектор внутреннего финансового аудита численностью </w:t>
      </w:r>
      <w:r>
        <w:rPr>
          <w:rFonts w:eastAsia="Calibri"/>
        </w:rPr>
        <w:t>2</w:t>
      </w:r>
      <w:r w:rsidRPr="00DB736E">
        <w:rPr>
          <w:rFonts w:eastAsia="Calibri"/>
        </w:rPr>
        <w:t xml:space="preserve"> штатн</w:t>
      </w:r>
      <w:r>
        <w:rPr>
          <w:rFonts w:eastAsia="Calibri"/>
        </w:rPr>
        <w:t>ы</w:t>
      </w:r>
      <w:r w:rsidR="00AC1101">
        <w:rPr>
          <w:rFonts w:eastAsia="Calibri"/>
        </w:rPr>
        <w:t>е</w:t>
      </w:r>
      <w:r w:rsidRPr="00DB736E">
        <w:rPr>
          <w:rFonts w:eastAsia="Calibri"/>
        </w:rPr>
        <w:t xml:space="preserve"> единиц</w:t>
      </w:r>
      <w:r w:rsidR="00AC1101">
        <w:rPr>
          <w:rFonts w:eastAsia="Calibri"/>
        </w:rPr>
        <w:t>ы</w:t>
      </w:r>
      <w:r w:rsidRPr="00DB736E">
        <w:rPr>
          <w:rFonts w:eastAsia="Calibri"/>
        </w:rPr>
        <w:t>.</w:t>
      </w:r>
    </w:p>
    <w:p w:rsidR="00AC1101" w:rsidRPr="00CC4DA7" w:rsidRDefault="00AE77BE" w:rsidP="00CC4DA7">
      <w:pPr>
        <w:autoSpaceDE w:val="0"/>
        <w:autoSpaceDN w:val="0"/>
        <w:adjustRightInd w:val="0"/>
        <w:ind w:firstLine="720"/>
        <w:jc w:val="both"/>
        <w:rPr>
          <w:rFonts w:cs="Liberation Serif"/>
          <w:color w:val="000000"/>
          <w:spacing w:val="2"/>
        </w:rPr>
      </w:pPr>
      <w:r w:rsidRPr="00515EC9">
        <w:t>В рамках внутреннего финансового аудита в отчетном году проведен</w:t>
      </w:r>
      <w:r>
        <w:t>о</w:t>
      </w:r>
      <w:r w:rsidRPr="00515EC9">
        <w:t xml:space="preserve"> </w:t>
      </w:r>
      <w:r w:rsidR="00734600">
        <w:t>4</w:t>
      </w:r>
      <w:r w:rsidRPr="00515EC9">
        <w:t xml:space="preserve"> аудиторски</w:t>
      </w:r>
      <w:r>
        <w:t>х</w:t>
      </w:r>
      <w:r w:rsidRPr="00515EC9">
        <w:t xml:space="preserve"> провер</w:t>
      </w:r>
      <w:r w:rsidR="00734600">
        <w:t>ки</w:t>
      </w:r>
      <w:r w:rsidRPr="00515EC9">
        <w:t xml:space="preserve">, </w:t>
      </w:r>
      <w:r w:rsidR="00734600">
        <w:t xml:space="preserve">которыми установлены 6 случаев нарушений и недостатков бюджетного </w:t>
      </w:r>
      <w:r w:rsidR="00734600" w:rsidRPr="00CC4DA7">
        <w:t xml:space="preserve">законодательства и нормативных актов Комитета, а также финансовые нарушения на общую сумму </w:t>
      </w:r>
      <w:r w:rsidR="00734600" w:rsidRPr="00CC4DA7">
        <w:rPr>
          <w:rFonts w:cs="Liberation Serif"/>
          <w:color w:val="000000"/>
          <w:spacing w:val="2"/>
        </w:rPr>
        <w:t xml:space="preserve">159 914,4 тыс. </w:t>
      </w:r>
      <w:r w:rsidR="00CC4DA7" w:rsidRPr="00CC4DA7">
        <w:rPr>
          <w:color w:val="000000"/>
          <w:spacing w:val="2"/>
          <w:shd w:val="clear" w:color="auto" w:fill="FFFFFF"/>
        </w:rPr>
        <w:t> руб., в том числе в части несоблюдения:</w:t>
      </w:r>
    </w:p>
    <w:p w:rsidR="00CC4DA7" w:rsidRPr="00CC4DA7" w:rsidRDefault="00CC4DA7" w:rsidP="00CC4DA7">
      <w:pPr>
        <w:pStyle w:val="af5"/>
        <w:shd w:val="clear" w:color="auto" w:fill="FFFFFF" w:themeFill="background1"/>
        <w:spacing w:before="0" w:beforeAutospacing="0" w:after="0" w:afterAutospacing="0" w:line="200" w:lineRule="atLeast"/>
        <w:ind w:firstLine="720"/>
        <w:jc w:val="both"/>
      </w:pPr>
      <w:r w:rsidRPr="00CC4DA7">
        <w:t>-порядка предоставления субсидии на иные цели ГБУ «</w:t>
      </w:r>
      <w:proofErr w:type="spellStart"/>
      <w:r w:rsidRPr="00CC4DA7">
        <w:t>Волгоградавтодор</w:t>
      </w:r>
      <w:proofErr w:type="spellEnd"/>
      <w:r w:rsidRPr="00CC4DA7">
        <w:t>»;</w:t>
      </w:r>
    </w:p>
    <w:p w:rsidR="00CC4DA7" w:rsidRPr="00CC4DA7" w:rsidRDefault="00CC4DA7" w:rsidP="00CC4DA7">
      <w:pPr>
        <w:pStyle w:val="af5"/>
        <w:shd w:val="clear" w:color="auto" w:fill="FFFFFF" w:themeFill="background1"/>
        <w:spacing w:before="0" w:beforeAutospacing="0" w:after="0" w:afterAutospacing="0" w:line="200" w:lineRule="atLeast"/>
        <w:ind w:firstLine="720"/>
        <w:jc w:val="both"/>
      </w:pPr>
      <w:r w:rsidRPr="00CC4DA7">
        <w:t>-положения об оплате труда работников подведомственных учреждений,</w:t>
      </w:r>
    </w:p>
    <w:p w:rsidR="00CC4DA7" w:rsidRPr="00CC4DA7" w:rsidRDefault="00CC4DA7" w:rsidP="00CC4DA7">
      <w:pPr>
        <w:pStyle w:val="af5"/>
        <w:shd w:val="clear" w:color="auto" w:fill="FFFFFF" w:themeFill="background1"/>
        <w:spacing w:before="0" w:beforeAutospacing="0" w:after="0" w:afterAutospacing="0" w:line="200" w:lineRule="atLeast"/>
        <w:ind w:firstLine="720"/>
        <w:jc w:val="both"/>
      </w:pPr>
      <w:r w:rsidRPr="00CC4DA7">
        <w:t>-порядка предоставления субсидий на выполнение государственного задания в отношении сроков предоставления отчетности.</w:t>
      </w:r>
    </w:p>
    <w:p w:rsidR="00CC4DA7" w:rsidRPr="00CC4DA7" w:rsidRDefault="00CC4DA7" w:rsidP="00CC4DA7">
      <w:pPr>
        <w:pStyle w:val="af5"/>
        <w:shd w:val="clear" w:color="auto" w:fill="FFFFFF" w:themeFill="background1"/>
        <w:spacing w:before="0" w:beforeAutospacing="0" w:after="0" w:afterAutospacing="0" w:line="200" w:lineRule="atLeast"/>
        <w:ind w:firstLine="720"/>
        <w:jc w:val="both"/>
      </w:pPr>
      <w:r w:rsidRPr="00CC4DA7">
        <w:t xml:space="preserve">По итогам проведенных проверок сделаны соответствующие замечания и рекомендации по </w:t>
      </w:r>
      <w:r w:rsidR="00593D39">
        <w:t xml:space="preserve">их </w:t>
      </w:r>
      <w:r w:rsidRPr="00CC4DA7">
        <w:t>устранению и недопущению в дальнейшей работе.</w:t>
      </w:r>
    </w:p>
    <w:p w:rsidR="00AE77BE" w:rsidRDefault="00AE77BE" w:rsidP="00D476F9">
      <w:pPr>
        <w:ind w:firstLine="708"/>
        <w:jc w:val="both"/>
      </w:pPr>
    </w:p>
    <w:p w:rsidR="00383C11" w:rsidRPr="006C0F38" w:rsidRDefault="00383C11" w:rsidP="00383C11">
      <w:pPr>
        <w:ind w:firstLine="567"/>
        <w:jc w:val="both"/>
        <w:rPr>
          <w:b/>
          <w:i/>
        </w:rPr>
      </w:pPr>
      <w:r w:rsidRPr="006C0F38">
        <w:rPr>
          <w:b/>
          <w:i/>
        </w:rPr>
        <w:t>Выводы:</w:t>
      </w:r>
    </w:p>
    <w:p w:rsidR="00383C11" w:rsidRPr="006C0F38" w:rsidRDefault="00383C11" w:rsidP="00593D39">
      <w:pPr>
        <w:pStyle w:val="a3"/>
        <w:widowControl w:val="0"/>
        <w:numPr>
          <w:ilvl w:val="0"/>
          <w:numId w:val="18"/>
        </w:numPr>
        <w:autoSpaceDN w:val="0"/>
        <w:adjustRightInd w:val="0"/>
        <w:ind w:left="0" w:firstLine="709"/>
        <w:contextualSpacing w:val="0"/>
        <w:jc w:val="both"/>
        <w:rPr>
          <w:rFonts w:eastAsiaTheme="minorHAnsi"/>
        </w:rPr>
      </w:pPr>
      <w:r w:rsidRPr="006C0F38">
        <w:t>В результате нарушени</w:t>
      </w:r>
      <w:r>
        <w:t>й</w:t>
      </w:r>
      <w:r w:rsidRPr="006C0F38">
        <w:rPr>
          <w:rFonts w:eastAsiaTheme="minorHAnsi"/>
        </w:rPr>
        <w:t xml:space="preserve"> требований к бюджетному (бухгалтерскому) учету:</w:t>
      </w:r>
    </w:p>
    <w:p w:rsidR="00383C11" w:rsidRPr="006C0F38" w:rsidRDefault="00383C11" w:rsidP="00593D39">
      <w:pPr>
        <w:pStyle w:val="a3"/>
        <w:widowControl w:val="0"/>
        <w:numPr>
          <w:ilvl w:val="1"/>
          <w:numId w:val="18"/>
        </w:numPr>
        <w:autoSpaceDN w:val="0"/>
        <w:adjustRightInd w:val="0"/>
        <w:ind w:left="0" w:firstLine="709"/>
        <w:contextualSpacing w:val="0"/>
        <w:jc w:val="both"/>
        <w:rPr>
          <w:rFonts w:eastAsiaTheme="minorHAnsi"/>
        </w:rPr>
      </w:pPr>
      <w:r w:rsidRPr="006C0F38">
        <w:rPr>
          <w:rFonts w:eastAsiaTheme="minorHAnsi"/>
        </w:rPr>
        <w:t>Бюджетная отчетность</w:t>
      </w:r>
      <w:r w:rsidRPr="006C0F38">
        <w:t xml:space="preserve"> </w:t>
      </w:r>
      <w:r w:rsidR="001C4B9A">
        <w:t>Комитета</w:t>
      </w:r>
      <w:r w:rsidRPr="006C0F38">
        <w:rPr>
          <w:rFonts w:eastAsiaTheme="minorHAnsi"/>
        </w:rPr>
        <w:t xml:space="preserve"> содержала искаженные показатели активов и обязательств на </w:t>
      </w:r>
      <w:r w:rsidR="00183E5A" w:rsidRPr="00105DA9">
        <w:rPr>
          <w:rFonts w:eastAsiaTheme="minorHAnsi"/>
          <w:lang w:eastAsia="en-US"/>
        </w:rPr>
        <w:t xml:space="preserve">28 907,5 - </w:t>
      </w:r>
      <w:r w:rsidR="00183E5A" w:rsidRPr="00105DA9">
        <w:rPr>
          <w:color w:val="000000"/>
        </w:rPr>
        <w:t>109 856,2</w:t>
      </w:r>
      <w:r w:rsidR="00183E5A" w:rsidRPr="00105DA9">
        <w:rPr>
          <w:rFonts w:eastAsiaTheme="minorHAnsi"/>
          <w:lang w:eastAsia="en-US"/>
        </w:rPr>
        <w:t xml:space="preserve"> тыс. руб., или на </w:t>
      </w:r>
      <w:r w:rsidR="00183E5A" w:rsidRPr="00105DA9">
        <w:t>0,1 – 64,3</w:t>
      </w:r>
      <w:r w:rsidR="00183E5A">
        <w:t xml:space="preserve"> </w:t>
      </w:r>
      <w:r w:rsidRPr="006C0F38">
        <w:t>процента</w:t>
      </w:r>
      <w:r w:rsidRPr="006C0F38">
        <w:rPr>
          <w:rFonts w:eastAsiaTheme="minorHAnsi"/>
        </w:rPr>
        <w:t>.</w:t>
      </w:r>
      <w:r w:rsidR="00183E5A">
        <w:rPr>
          <w:rFonts w:eastAsiaTheme="minorHAnsi"/>
        </w:rPr>
        <w:t xml:space="preserve"> Также установлены иные нарушения, не повлекшие искажение показателей активов и обязательств, в том числе</w:t>
      </w:r>
      <w:r w:rsidR="00183E5A" w:rsidRPr="00183E5A">
        <w:rPr>
          <w:rFonts w:eastAsiaTheme="minorHAnsi"/>
          <w:lang w:eastAsia="en-US"/>
        </w:rPr>
        <w:t xml:space="preserve"> </w:t>
      </w:r>
      <w:r w:rsidR="00183E5A">
        <w:rPr>
          <w:rFonts w:eastAsiaTheme="minorHAnsi"/>
          <w:lang w:eastAsia="en-US"/>
        </w:rPr>
        <w:t xml:space="preserve">не признаны в полном объёме в размере </w:t>
      </w:r>
      <w:r w:rsidR="00183E5A" w:rsidRPr="000E4F60">
        <w:rPr>
          <w:rFonts w:eastAsiaTheme="minorHAnsi"/>
          <w:lang w:eastAsia="en-US"/>
        </w:rPr>
        <w:t>3 027</w:t>
      </w:r>
      <w:r w:rsidR="00183E5A">
        <w:rPr>
          <w:rFonts w:eastAsiaTheme="minorHAnsi"/>
          <w:lang w:eastAsia="en-US"/>
        </w:rPr>
        <w:t> </w:t>
      </w:r>
      <w:r w:rsidR="00183E5A" w:rsidRPr="000E4F60">
        <w:rPr>
          <w:rFonts w:eastAsiaTheme="minorHAnsi"/>
          <w:lang w:eastAsia="en-US"/>
        </w:rPr>
        <w:t>833</w:t>
      </w:r>
      <w:r w:rsidR="00183E5A">
        <w:rPr>
          <w:rFonts w:eastAsiaTheme="minorHAnsi"/>
          <w:lang w:eastAsia="en-US"/>
        </w:rPr>
        <w:t>,</w:t>
      </w:r>
      <w:r w:rsidR="00183E5A" w:rsidRPr="000E4F60">
        <w:rPr>
          <w:rFonts w:eastAsiaTheme="minorHAnsi"/>
          <w:lang w:eastAsia="en-US"/>
        </w:rPr>
        <w:t>5</w:t>
      </w:r>
      <w:r w:rsidR="00183E5A">
        <w:rPr>
          <w:rFonts w:eastAsiaTheme="minorHAnsi"/>
          <w:lang w:eastAsia="en-US"/>
        </w:rPr>
        <w:t xml:space="preserve"> тыс. руб. доходы от межбюджетных трансфертов из федерального бюджета.</w:t>
      </w:r>
    </w:p>
    <w:p w:rsidR="00383C11" w:rsidRPr="006C0F38" w:rsidRDefault="00383C11" w:rsidP="00593D39">
      <w:pPr>
        <w:pStyle w:val="a3"/>
        <w:widowControl w:val="0"/>
        <w:numPr>
          <w:ilvl w:val="1"/>
          <w:numId w:val="18"/>
        </w:numPr>
        <w:autoSpaceDN w:val="0"/>
        <w:adjustRightInd w:val="0"/>
        <w:ind w:left="0" w:firstLine="709"/>
        <w:contextualSpacing w:val="0"/>
        <w:jc w:val="both"/>
        <w:rPr>
          <w:rFonts w:eastAsiaTheme="minorHAnsi"/>
        </w:rPr>
      </w:pPr>
      <w:r w:rsidRPr="006C0F38">
        <w:t>Бухгалтерская отчетность ГБУ «</w:t>
      </w:r>
      <w:proofErr w:type="spellStart"/>
      <w:r w:rsidR="001C4B9A">
        <w:t>Волгоградавтодор</w:t>
      </w:r>
      <w:proofErr w:type="spellEnd"/>
      <w:r w:rsidRPr="006C0F38">
        <w:t xml:space="preserve">» </w:t>
      </w:r>
      <w:r w:rsidRPr="006C0F38">
        <w:rPr>
          <w:rFonts w:eastAsiaTheme="minorHAnsi"/>
        </w:rPr>
        <w:t xml:space="preserve">содержала искаженные показатели активов на общую сумму </w:t>
      </w:r>
      <w:r w:rsidR="00183E5A" w:rsidRPr="00715653">
        <w:rPr>
          <w:rFonts w:eastAsiaTheme="minorHAnsi"/>
          <w:lang w:eastAsia="en-US"/>
        </w:rPr>
        <w:t>109</w:t>
      </w:r>
      <w:r w:rsidR="00183E5A">
        <w:rPr>
          <w:rFonts w:eastAsiaTheme="minorHAnsi"/>
          <w:lang w:eastAsia="en-US"/>
        </w:rPr>
        <w:t> </w:t>
      </w:r>
      <w:r w:rsidR="00183E5A" w:rsidRPr="00715653">
        <w:rPr>
          <w:rFonts w:eastAsiaTheme="minorHAnsi"/>
          <w:lang w:eastAsia="en-US"/>
        </w:rPr>
        <w:t xml:space="preserve">078,9 тыс. руб., или на </w:t>
      </w:r>
      <w:r w:rsidR="00183E5A" w:rsidRPr="00715653">
        <w:t>0,9-10,6</w:t>
      </w:r>
      <w:r w:rsidR="00183E5A">
        <w:t xml:space="preserve"> </w:t>
      </w:r>
      <w:r w:rsidRPr="006C0F38">
        <w:t>процента</w:t>
      </w:r>
      <w:r w:rsidR="00183E5A">
        <w:rPr>
          <w:rFonts w:eastAsiaTheme="minorHAnsi"/>
        </w:rPr>
        <w:t>.</w:t>
      </w:r>
    </w:p>
    <w:p w:rsidR="00383C11" w:rsidRDefault="00383C11" w:rsidP="00593D39">
      <w:pPr>
        <w:pStyle w:val="a3"/>
        <w:autoSpaceDE w:val="0"/>
        <w:ind w:left="0" w:firstLine="709"/>
        <w:jc w:val="both"/>
        <w:rPr>
          <w:rFonts w:eastAsiaTheme="minorHAnsi"/>
        </w:rPr>
      </w:pPr>
      <w:r w:rsidRPr="006C0F38">
        <w:rPr>
          <w:rFonts w:eastAsiaTheme="minorHAnsi"/>
        </w:rPr>
        <w:t xml:space="preserve">Нарушения устранены в ходе проверки. Отчетность, содержащая уточненные (исправленные) показатели, представлена в комитет финансов Волгоградской области до её </w:t>
      </w:r>
      <w:r w:rsidRPr="00EA5A9E">
        <w:rPr>
          <w:rFonts w:eastAsiaTheme="minorHAnsi"/>
        </w:rPr>
        <w:t>принятия.</w:t>
      </w:r>
    </w:p>
    <w:p w:rsidR="001C4B9A" w:rsidRDefault="00183E5A" w:rsidP="00593D39">
      <w:pPr>
        <w:pStyle w:val="a3"/>
        <w:numPr>
          <w:ilvl w:val="0"/>
          <w:numId w:val="18"/>
        </w:numPr>
        <w:autoSpaceDE w:val="0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 xml:space="preserve">Целевой показатель государственной программы </w:t>
      </w:r>
      <w:r w:rsidR="00D7622D">
        <w:rPr>
          <w:rFonts w:eastAsiaTheme="minorHAnsi"/>
        </w:rPr>
        <w:t>Волгоградской области «</w:t>
      </w:r>
      <w:r w:rsidR="00D7622D" w:rsidRPr="00E659BE">
        <w:t xml:space="preserve">Развитие транспортной системы и обеспечение </w:t>
      </w:r>
      <w:r w:rsidR="00D7622D" w:rsidRPr="00E659BE">
        <w:rPr>
          <w:rFonts w:eastAsia="Calibri"/>
          <w:lang w:eastAsia="en-US"/>
        </w:rPr>
        <w:t xml:space="preserve">безопасности дорожного движения в </w:t>
      </w:r>
      <w:r w:rsidR="00D7622D" w:rsidRPr="00E659BE">
        <w:t>Волгоградской области</w:t>
      </w:r>
      <w:r w:rsidR="00D7622D">
        <w:t>», характеризующий долю автомобильных дорог, работающих в режиме перегрузки,</w:t>
      </w:r>
      <w:r w:rsidR="00D7622D" w:rsidRPr="00D7622D">
        <w:rPr>
          <w:rFonts w:eastAsiaTheme="minorHAnsi"/>
          <w:lang w:eastAsia="en-US"/>
        </w:rPr>
        <w:t xml:space="preserve"> </w:t>
      </w:r>
      <w:r w:rsidR="00D7622D">
        <w:rPr>
          <w:rFonts w:eastAsiaTheme="minorHAnsi"/>
          <w:lang w:eastAsia="en-US"/>
        </w:rPr>
        <w:t>не отвечает требованию сопоставимости – не сопоставим с целевым показателем НП БКАД, что искажает представление об объективных результатах реализации национального проекта в Волгоградской области.</w:t>
      </w:r>
    </w:p>
    <w:p w:rsidR="00383C11" w:rsidRPr="007D46E7" w:rsidRDefault="00383C11" w:rsidP="00593D3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EA5A9E">
        <w:t xml:space="preserve">В сферу </w:t>
      </w:r>
      <w:r w:rsidR="001C4B9A">
        <w:t xml:space="preserve">исключительной и совместной с </w:t>
      </w:r>
      <w:proofErr w:type="spellStart"/>
      <w:r w:rsidRPr="00EA5A9E">
        <w:t>Облкоминформтехнологи</w:t>
      </w:r>
      <w:r w:rsidR="001C4B9A">
        <w:t>и</w:t>
      </w:r>
      <w:proofErr w:type="spellEnd"/>
      <w:r w:rsidRPr="00EA5A9E">
        <w:t xml:space="preserve"> </w:t>
      </w:r>
      <w:r w:rsidR="001C4B9A" w:rsidRPr="00EA5A9E">
        <w:t xml:space="preserve">ответственности </w:t>
      </w:r>
      <w:r w:rsidR="001C4B9A">
        <w:t xml:space="preserve">Комитета </w:t>
      </w:r>
      <w:r w:rsidRPr="00EA5A9E">
        <w:t xml:space="preserve">входят </w:t>
      </w:r>
      <w:r w:rsidR="001C4B9A">
        <w:t>26</w:t>
      </w:r>
      <w:r w:rsidRPr="00EA5A9E">
        <w:t xml:space="preserve"> целевых показателей </w:t>
      </w:r>
      <w:r w:rsidR="001C4B9A">
        <w:t>трёх</w:t>
      </w:r>
      <w:r w:rsidRPr="00EA5A9E">
        <w:t xml:space="preserve"> государственных программ. По итогам 2019 года не достигнуты целевые значения </w:t>
      </w:r>
      <w:r w:rsidR="001C4B9A">
        <w:t>десяти</w:t>
      </w:r>
      <w:r w:rsidRPr="00EA5A9E">
        <w:t xml:space="preserve"> целевых показателей </w:t>
      </w:r>
      <w:r w:rsidR="001C4B9A">
        <w:t>двух</w:t>
      </w:r>
      <w:r w:rsidRPr="00EA5A9E">
        <w:t xml:space="preserve"> государственных программ Волгоградской области.</w:t>
      </w:r>
    </w:p>
    <w:p w:rsidR="00383C11" w:rsidRPr="006C0F38" w:rsidRDefault="00383C11" w:rsidP="00593D3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</w:pPr>
      <w:r>
        <w:t xml:space="preserve">Наиболее социально значимой задачей, нерешённой в 2019 году, явилось снижение смертности на дорогах. </w:t>
      </w:r>
      <w:r w:rsidRPr="00EA5A9E">
        <w:t>В 2019 году на автомобильных дорогах в Волгоградской области погибло 286</w:t>
      </w:r>
      <w:r w:rsidRPr="006C0F38">
        <w:t xml:space="preserve"> человек, что больше целевого значения (230) и показателя 2018 года (262). </w:t>
      </w:r>
      <w:r w:rsidR="00F61092">
        <w:t xml:space="preserve">Количество мест концентрации дорожно-транспортных происшествий при целевом значении 53 составило 65, что превышает базовое значение 2017 года (61). </w:t>
      </w:r>
      <w:r w:rsidRPr="006C0F38">
        <w:t xml:space="preserve">Сложившаяся негативная динамика несёт существенные риски </w:t>
      </w:r>
      <w:proofErr w:type="spellStart"/>
      <w:r w:rsidRPr="006C0F38">
        <w:t>недостижения</w:t>
      </w:r>
      <w:proofErr w:type="spellEnd"/>
      <w:r w:rsidRPr="006C0F38">
        <w:t xml:space="preserve"> цели по с</w:t>
      </w:r>
      <w:r w:rsidRPr="006C0F38">
        <w:rPr>
          <w:rFonts w:eastAsiaTheme="minorHAnsi"/>
          <w:bCs/>
          <w:iCs/>
        </w:rPr>
        <w:t>нижению смертности в результате дорожно-транспортных происшествий, определённой Указом Президента РФ от 07.05.2018 № 204 «О национальных целях и стратегических задачах развития Российской Федерации на период до 2024 года» и закреплённой национальн</w:t>
      </w:r>
      <w:r>
        <w:rPr>
          <w:rFonts w:eastAsiaTheme="minorHAnsi"/>
          <w:bCs/>
          <w:iCs/>
        </w:rPr>
        <w:t>ым</w:t>
      </w:r>
      <w:r w:rsidRPr="006C0F38">
        <w:rPr>
          <w:rFonts w:eastAsiaTheme="minorHAnsi"/>
          <w:bCs/>
          <w:iCs/>
        </w:rPr>
        <w:t xml:space="preserve"> </w:t>
      </w:r>
      <w:r>
        <w:rPr>
          <w:rFonts w:eastAsiaTheme="minorHAnsi"/>
          <w:bCs/>
          <w:iCs/>
        </w:rPr>
        <w:t>проектом</w:t>
      </w:r>
      <w:r w:rsidRPr="006C0F38">
        <w:rPr>
          <w:rFonts w:eastAsiaTheme="minorHAnsi"/>
          <w:bCs/>
          <w:iCs/>
        </w:rPr>
        <w:t xml:space="preserve"> «Безопасные и качественные автомобильные дороги».</w:t>
      </w:r>
    </w:p>
    <w:p w:rsidR="00383C11" w:rsidRDefault="00383C11" w:rsidP="00593D39">
      <w:pPr>
        <w:autoSpaceDE w:val="0"/>
        <w:ind w:firstLine="709"/>
        <w:jc w:val="both"/>
      </w:pPr>
    </w:p>
    <w:p w:rsidR="00CC4DA7" w:rsidRDefault="00CC4DA7" w:rsidP="00383C11">
      <w:pPr>
        <w:autoSpaceDE w:val="0"/>
        <w:ind w:firstLine="567"/>
        <w:jc w:val="both"/>
      </w:pPr>
    </w:p>
    <w:p w:rsidR="000A078C" w:rsidRDefault="000A078C" w:rsidP="00383C11">
      <w:pPr>
        <w:autoSpaceDE w:val="0"/>
        <w:ind w:firstLine="567"/>
        <w:jc w:val="both"/>
      </w:pPr>
    </w:p>
    <w:p w:rsidR="00CC4DA7" w:rsidRPr="006C0F38" w:rsidRDefault="00CC4DA7" w:rsidP="00383C11">
      <w:pPr>
        <w:autoSpaceDE w:val="0"/>
        <w:ind w:firstLine="567"/>
        <w:jc w:val="both"/>
      </w:pPr>
    </w:p>
    <w:p w:rsidR="00383C11" w:rsidRDefault="00383C11" w:rsidP="00593D39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D27021">
        <w:rPr>
          <w:b/>
          <w:i/>
        </w:rPr>
        <w:lastRenderedPageBreak/>
        <w:t>Предложения:</w:t>
      </w:r>
    </w:p>
    <w:p w:rsidR="00D27021" w:rsidRDefault="00D27021" w:rsidP="00593D39">
      <w:pPr>
        <w:autoSpaceDE w:val="0"/>
        <w:autoSpaceDN w:val="0"/>
        <w:adjustRightInd w:val="0"/>
        <w:ind w:firstLine="709"/>
        <w:jc w:val="both"/>
        <w:rPr>
          <w:i/>
        </w:rPr>
      </w:pPr>
      <w:r w:rsidRPr="00D27021">
        <w:rPr>
          <w:i/>
        </w:rPr>
        <w:t>Комитету:</w:t>
      </w:r>
    </w:p>
    <w:p w:rsidR="00B85615" w:rsidRPr="007C5769" w:rsidRDefault="00B85615" w:rsidP="00593D39">
      <w:pPr>
        <w:pStyle w:val="a3"/>
        <w:numPr>
          <w:ilvl w:val="0"/>
          <w:numId w:val="19"/>
        </w:numPr>
        <w:ind w:left="0" w:firstLine="709"/>
        <w:jc w:val="both"/>
      </w:pPr>
      <w:r>
        <w:t xml:space="preserve">Разработать и осуществить комплекс мероприятий, направленных на недопущение </w:t>
      </w:r>
      <w:r w:rsidRPr="00B31CBF">
        <w:t>нарушений</w:t>
      </w:r>
      <w:r w:rsidRPr="00B31CBF">
        <w:rPr>
          <w:rFonts w:eastAsiaTheme="minorHAnsi"/>
        </w:rPr>
        <w:t xml:space="preserve"> требований к бю</w:t>
      </w:r>
      <w:r>
        <w:rPr>
          <w:rFonts w:eastAsiaTheme="minorHAnsi"/>
        </w:rPr>
        <w:t>джетному (бухгалтерскому) учету Комитета и подведомственных государственных учреждений.</w:t>
      </w:r>
    </w:p>
    <w:p w:rsidR="00D7622D" w:rsidRPr="00D7622D" w:rsidRDefault="00D27021" w:rsidP="00593D39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>
        <w:t>О</w:t>
      </w:r>
      <w:r w:rsidR="00D7622D" w:rsidRPr="00D7622D">
        <w:t xml:space="preserve">беспечить приведение целевого показателя </w:t>
      </w:r>
      <w:r w:rsidR="00D7622D" w:rsidRPr="00D7622D">
        <w:rPr>
          <w:rFonts w:eastAsiaTheme="minorHAnsi"/>
        </w:rPr>
        <w:t>государственной программы Волгоградской области «</w:t>
      </w:r>
      <w:r w:rsidR="00D7622D" w:rsidRPr="00D7622D">
        <w:t xml:space="preserve">Развитие транспортной системы и обеспечение </w:t>
      </w:r>
      <w:r w:rsidR="00D7622D" w:rsidRPr="00D7622D">
        <w:rPr>
          <w:rFonts w:eastAsia="Calibri"/>
          <w:lang w:eastAsia="en-US"/>
        </w:rPr>
        <w:t xml:space="preserve">безопасности дорожного движения в </w:t>
      </w:r>
      <w:r w:rsidR="00D7622D" w:rsidRPr="00D7622D">
        <w:t>Волгоградской области», характеризующего долю автомобильных дорог, работающих в режиме перегрузки,</w:t>
      </w:r>
      <w:r w:rsidR="00D7622D" w:rsidRPr="00D7622D">
        <w:rPr>
          <w:rFonts w:eastAsiaTheme="minorHAnsi"/>
          <w:lang w:eastAsia="en-US"/>
        </w:rPr>
        <w:t xml:space="preserve"> в сопоставимость с целевым показателем НП БКАД.</w:t>
      </w:r>
    </w:p>
    <w:p w:rsidR="00383C11" w:rsidRPr="00D7622D" w:rsidRDefault="00D27021" w:rsidP="00593D39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b/>
          <w:i/>
        </w:rPr>
      </w:pPr>
      <w:r>
        <w:t xml:space="preserve">Совместно с </w:t>
      </w:r>
      <w:proofErr w:type="spellStart"/>
      <w:r>
        <w:t>Облкоминформтехнологии</w:t>
      </w:r>
      <w:proofErr w:type="spellEnd"/>
      <w:r>
        <w:t xml:space="preserve"> и </w:t>
      </w:r>
      <w:r w:rsidR="00383C11" w:rsidRPr="00D7622D">
        <w:t xml:space="preserve">заинтересованными федеральными структурами осуществить детальный анализ причин смертности </w:t>
      </w:r>
      <w:r w:rsidR="00383C11" w:rsidRPr="00D7622D">
        <w:rPr>
          <w:rFonts w:eastAsiaTheme="minorHAnsi"/>
          <w:bCs/>
          <w:iCs/>
        </w:rPr>
        <w:t>в результате дорожно-транспортных происшествий</w:t>
      </w:r>
      <w:r w:rsidR="00383C11" w:rsidRPr="00D7622D">
        <w:t xml:space="preserve"> и пересмотреть организационные подходы к реализации </w:t>
      </w:r>
      <w:r>
        <w:t xml:space="preserve">соответствующих </w:t>
      </w:r>
      <w:r w:rsidR="00383C11" w:rsidRPr="00D7622D">
        <w:t xml:space="preserve">мероприятий </w:t>
      </w:r>
      <w:r w:rsidR="00B903F5">
        <w:t>ПП «Повышение БДД»</w:t>
      </w:r>
      <w:r w:rsidR="00383C11" w:rsidRPr="006C0F38">
        <w:t>.</w:t>
      </w:r>
    </w:p>
    <w:p w:rsidR="00383C11" w:rsidRDefault="00383C11" w:rsidP="00D476F9">
      <w:pPr>
        <w:ind w:firstLine="708"/>
        <w:jc w:val="both"/>
      </w:pPr>
    </w:p>
    <w:p w:rsidR="00AC1101" w:rsidRPr="00DB736E" w:rsidRDefault="00AC1101" w:rsidP="00AC1101">
      <w:pPr>
        <w:ind w:firstLine="709"/>
        <w:jc w:val="both"/>
        <w:rPr>
          <w:rFonts w:eastAsia="Calibri"/>
        </w:rPr>
      </w:pPr>
      <w:r w:rsidRPr="00DB736E">
        <w:rPr>
          <w:rFonts w:eastAsia="Calibri"/>
        </w:rPr>
        <w:t xml:space="preserve">Приложение: на </w:t>
      </w:r>
      <w:r w:rsidR="00B44AEC">
        <w:rPr>
          <w:rFonts w:eastAsia="Calibri"/>
        </w:rPr>
        <w:t>4</w:t>
      </w:r>
      <w:r w:rsidRPr="00DB736E">
        <w:rPr>
          <w:rFonts w:eastAsia="Calibri"/>
        </w:rPr>
        <w:t xml:space="preserve"> л.</w:t>
      </w:r>
    </w:p>
    <w:p w:rsidR="00B16317" w:rsidRDefault="00B16317" w:rsidP="0048030F">
      <w:pPr>
        <w:ind w:firstLine="567"/>
        <w:jc w:val="both"/>
      </w:pPr>
    </w:p>
    <w:p w:rsidR="00255B8D" w:rsidRDefault="00255B8D" w:rsidP="0048030F">
      <w:pPr>
        <w:ind w:firstLine="567"/>
        <w:jc w:val="both"/>
      </w:pPr>
    </w:p>
    <w:p w:rsidR="00B44AEC" w:rsidRDefault="00B44AEC" w:rsidP="0048030F">
      <w:pPr>
        <w:ind w:firstLine="567"/>
        <w:jc w:val="both"/>
      </w:pPr>
    </w:p>
    <w:p w:rsidR="00B44AEC" w:rsidRDefault="00B44AEC" w:rsidP="0048030F">
      <w:pPr>
        <w:ind w:firstLine="567"/>
        <w:jc w:val="both"/>
      </w:pPr>
    </w:p>
    <w:p w:rsidR="00B44AEC" w:rsidRDefault="00B44AEC" w:rsidP="0048030F">
      <w:pPr>
        <w:ind w:firstLine="567"/>
        <w:jc w:val="both"/>
      </w:pPr>
    </w:p>
    <w:p w:rsidR="00B44AEC" w:rsidRDefault="00B44AEC" w:rsidP="0048030F">
      <w:pPr>
        <w:ind w:firstLine="567"/>
        <w:jc w:val="both"/>
      </w:pPr>
    </w:p>
    <w:p w:rsidR="00B44AEC" w:rsidRDefault="00B44AEC" w:rsidP="0048030F">
      <w:pPr>
        <w:ind w:firstLine="567"/>
        <w:jc w:val="both"/>
      </w:pPr>
    </w:p>
    <w:p w:rsidR="00B44AEC" w:rsidRDefault="00B44AEC" w:rsidP="0048030F">
      <w:pPr>
        <w:ind w:firstLine="567"/>
        <w:jc w:val="both"/>
      </w:pPr>
    </w:p>
    <w:p w:rsidR="00B44AEC" w:rsidRDefault="00B44AEC" w:rsidP="0048030F">
      <w:pPr>
        <w:ind w:firstLine="567"/>
        <w:jc w:val="both"/>
      </w:pPr>
    </w:p>
    <w:p w:rsidR="00B44AEC" w:rsidRDefault="00B44AEC" w:rsidP="0048030F">
      <w:pPr>
        <w:ind w:firstLine="567"/>
        <w:jc w:val="both"/>
      </w:pPr>
    </w:p>
    <w:p w:rsidR="00255B8D" w:rsidRDefault="00255B8D" w:rsidP="0048030F">
      <w:pPr>
        <w:ind w:firstLine="567"/>
        <w:jc w:val="both"/>
      </w:pPr>
    </w:p>
    <w:p w:rsidR="00255B8D" w:rsidRDefault="00255B8D" w:rsidP="0048030F">
      <w:pPr>
        <w:ind w:firstLine="567"/>
        <w:jc w:val="both"/>
      </w:pPr>
      <w:r>
        <w:t>Аудитор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Н.Л. </w:t>
      </w:r>
      <w:proofErr w:type="spellStart"/>
      <w:r>
        <w:t>Ноздрюхина</w:t>
      </w:r>
      <w:proofErr w:type="spellEnd"/>
    </w:p>
    <w:p w:rsidR="00572B38" w:rsidRDefault="00572B38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B44AEC" w:rsidRDefault="00B44AEC"/>
    <w:p w:rsidR="000A078C" w:rsidRDefault="000A078C"/>
    <w:p w:rsidR="00B44AEC" w:rsidRDefault="00B44AEC"/>
    <w:p w:rsidR="00B44AEC" w:rsidRDefault="00B44AEC"/>
    <w:p w:rsidR="00B44AEC" w:rsidRDefault="00B44AEC"/>
    <w:p w:rsidR="00B44AEC" w:rsidRDefault="00B44AEC"/>
    <w:p w:rsidR="00FF5503" w:rsidRDefault="00FF5503" w:rsidP="00FF5503">
      <w:pPr>
        <w:jc w:val="right"/>
      </w:pPr>
      <w:r>
        <w:lastRenderedPageBreak/>
        <w:t>Приложение № 1</w:t>
      </w:r>
    </w:p>
    <w:p w:rsidR="00792DAE" w:rsidRDefault="00792DAE" w:rsidP="00792DAE">
      <w:pPr>
        <w:autoSpaceDE w:val="0"/>
        <w:autoSpaceDN w:val="0"/>
        <w:adjustRightInd w:val="0"/>
        <w:spacing w:line="300" w:lineRule="exact"/>
        <w:ind w:firstLine="720"/>
        <w:jc w:val="center"/>
        <w:outlineLvl w:val="0"/>
        <w:rPr>
          <w:rFonts w:eastAsia="Calibri" w:cs="Arial"/>
          <w:b/>
        </w:rPr>
      </w:pPr>
    </w:p>
    <w:p w:rsidR="00792DAE" w:rsidRPr="00EE144B" w:rsidRDefault="00792DAE" w:rsidP="00792DAE">
      <w:pPr>
        <w:autoSpaceDE w:val="0"/>
        <w:autoSpaceDN w:val="0"/>
        <w:adjustRightInd w:val="0"/>
        <w:spacing w:line="300" w:lineRule="exact"/>
        <w:jc w:val="center"/>
        <w:outlineLvl w:val="0"/>
        <w:rPr>
          <w:rFonts w:eastAsia="Calibri" w:cs="Arial"/>
          <w:b/>
        </w:rPr>
      </w:pPr>
      <w:r w:rsidRPr="00EE144B">
        <w:rPr>
          <w:rFonts w:eastAsia="Calibri" w:cs="Arial"/>
          <w:b/>
        </w:rPr>
        <w:t xml:space="preserve">Данные об </w:t>
      </w:r>
      <w:proofErr w:type="spellStart"/>
      <w:r w:rsidRPr="00EE144B">
        <w:rPr>
          <w:rFonts w:eastAsia="Calibri" w:cs="Arial"/>
          <w:b/>
        </w:rPr>
        <w:t>администрируемых</w:t>
      </w:r>
      <w:proofErr w:type="spellEnd"/>
      <w:r w:rsidRPr="00EE144B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Комитетом</w:t>
      </w:r>
      <w:r w:rsidRPr="00EE144B">
        <w:rPr>
          <w:rFonts w:eastAsia="Calibri" w:cs="Arial"/>
          <w:b/>
        </w:rPr>
        <w:t xml:space="preserve"> доходах за 2019 год</w:t>
      </w:r>
    </w:p>
    <w:p w:rsidR="00FF5503" w:rsidRDefault="00FF5503"/>
    <w:p w:rsidR="00FF5503" w:rsidRDefault="00FF5503" w:rsidP="00FF5503">
      <w:pPr>
        <w:jc w:val="right"/>
      </w:pPr>
      <w:r>
        <w:t>тыс. руб.</w:t>
      </w:r>
    </w:p>
    <w:tbl>
      <w:tblPr>
        <w:tblW w:w="1051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0"/>
        <w:gridCol w:w="1134"/>
        <w:gridCol w:w="1134"/>
        <w:gridCol w:w="1153"/>
        <w:gridCol w:w="711"/>
      </w:tblGrid>
      <w:tr w:rsidR="00FF5503" w:rsidRPr="00DE0580" w:rsidTr="001C4B9A">
        <w:trPr>
          <w:trHeight w:val="20"/>
          <w:tblHeader/>
        </w:trPr>
        <w:tc>
          <w:tcPr>
            <w:tcW w:w="638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DE0580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E0580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DE0580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E0580">
              <w:rPr>
                <w:sz w:val="16"/>
                <w:szCs w:val="16"/>
              </w:rPr>
              <w:t>Утвержден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DE0580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E0580">
              <w:rPr>
                <w:sz w:val="16"/>
                <w:szCs w:val="16"/>
              </w:rPr>
              <w:t>Исполнено</w:t>
            </w:r>
          </w:p>
        </w:tc>
        <w:tc>
          <w:tcPr>
            <w:tcW w:w="18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2E72C3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2E72C3">
              <w:rPr>
                <w:sz w:val="16"/>
                <w:szCs w:val="16"/>
              </w:rPr>
              <w:t>Отклонение</w:t>
            </w:r>
          </w:p>
        </w:tc>
      </w:tr>
      <w:tr w:rsidR="00FF5503" w:rsidRPr="00DE0580" w:rsidTr="001C4B9A">
        <w:trPr>
          <w:trHeight w:val="20"/>
          <w:tblHeader/>
        </w:trPr>
        <w:tc>
          <w:tcPr>
            <w:tcW w:w="638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DE0580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DE0580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DE0580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DE0580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503" w:rsidRPr="00DE0580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E0580">
              <w:rPr>
                <w:sz w:val="16"/>
                <w:szCs w:val="16"/>
              </w:rPr>
              <w:t xml:space="preserve">% 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5503" w:rsidRPr="005D4E1E" w:rsidRDefault="00FF5503" w:rsidP="001C4B9A">
            <w:pPr>
              <w:tabs>
                <w:tab w:val="right" w:pos="1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404F19">
              <w:rPr>
                <w:b/>
                <w:sz w:val="20"/>
                <w:szCs w:val="20"/>
              </w:rPr>
              <w:t>Доходы бюджета – всего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9D61FE">
              <w:rPr>
                <w:i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1951">
              <w:rPr>
                <w:b/>
                <w:sz w:val="18"/>
                <w:szCs w:val="18"/>
              </w:rPr>
              <w:t>4</w:t>
            </w:r>
            <w:r w:rsidR="00866A7D" w:rsidRPr="002B1951">
              <w:rPr>
                <w:b/>
                <w:sz w:val="18"/>
                <w:szCs w:val="18"/>
              </w:rPr>
              <w:t> </w:t>
            </w:r>
            <w:r w:rsidRPr="002B1951">
              <w:rPr>
                <w:b/>
                <w:sz w:val="18"/>
                <w:szCs w:val="18"/>
              </w:rPr>
              <w:t>485</w:t>
            </w:r>
            <w:r w:rsidR="00866A7D" w:rsidRPr="002B1951">
              <w:rPr>
                <w:b/>
                <w:sz w:val="18"/>
                <w:szCs w:val="18"/>
              </w:rPr>
              <w:t> </w:t>
            </w:r>
            <w:r w:rsidRPr="002B1951">
              <w:rPr>
                <w:b/>
                <w:sz w:val="18"/>
                <w:szCs w:val="18"/>
              </w:rPr>
              <w:t>304,3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1951">
              <w:rPr>
                <w:b/>
                <w:sz w:val="18"/>
                <w:szCs w:val="18"/>
              </w:rPr>
              <w:t>4</w:t>
            </w:r>
            <w:r w:rsidR="00866A7D" w:rsidRPr="002B1951">
              <w:rPr>
                <w:b/>
                <w:sz w:val="18"/>
                <w:szCs w:val="18"/>
              </w:rPr>
              <w:t> </w:t>
            </w:r>
            <w:r w:rsidRPr="002B1951">
              <w:rPr>
                <w:b/>
                <w:sz w:val="18"/>
                <w:szCs w:val="18"/>
              </w:rPr>
              <w:t>060</w:t>
            </w:r>
            <w:r w:rsidR="00866A7D" w:rsidRPr="002B1951">
              <w:rPr>
                <w:b/>
                <w:sz w:val="18"/>
                <w:szCs w:val="18"/>
              </w:rPr>
              <w:t> </w:t>
            </w:r>
            <w:r w:rsidRPr="002B1951">
              <w:rPr>
                <w:b/>
                <w:sz w:val="18"/>
                <w:szCs w:val="18"/>
              </w:rPr>
              <w:t>166,2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5503" w:rsidRPr="002B1951" w:rsidRDefault="00FF5503" w:rsidP="002B1951">
            <w:pPr>
              <w:contextualSpacing/>
              <w:jc w:val="center"/>
              <w:rPr>
                <w:b/>
                <w:sz w:val="18"/>
                <w:szCs w:val="18"/>
                <w:highlight w:val="yellow"/>
              </w:rPr>
            </w:pPr>
            <w:r w:rsidRPr="002B1951">
              <w:rPr>
                <w:b/>
                <w:sz w:val="18"/>
                <w:szCs w:val="18"/>
              </w:rPr>
              <w:t>-425 1</w:t>
            </w:r>
            <w:r w:rsidR="002B1951" w:rsidRPr="002B1951">
              <w:rPr>
                <w:b/>
                <w:sz w:val="18"/>
                <w:szCs w:val="18"/>
              </w:rPr>
              <w:t>3</w:t>
            </w:r>
            <w:r w:rsidRPr="002B1951">
              <w:rPr>
                <w:b/>
                <w:sz w:val="18"/>
                <w:szCs w:val="18"/>
              </w:rPr>
              <w:t>8,1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5503" w:rsidRPr="00E04AE8" w:rsidRDefault="00FF5503" w:rsidP="001C4B9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-9,5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tcBorders>
              <w:top w:val="double" w:sz="4" w:space="0" w:color="auto"/>
            </w:tcBorders>
            <w:vAlign w:val="center"/>
          </w:tcPr>
          <w:p w:rsidR="00FF5503" w:rsidRPr="009738C9" w:rsidRDefault="00FF5503" w:rsidP="001C4B9A">
            <w:pPr>
              <w:tabs>
                <w:tab w:val="right" w:pos="1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9738C9">
              <w:rPr>
                <w:b/>
                <w:i/>
                <w:sz w:val="18"/>
                <w:szCs w:val="18"/>
              </w:rPr>
              <w:t>Налоговые и неналоговые доходы</w:t>
            </w:r>
          </w:p>
          <w:p w:rsidR="00FF5503" w:rsidRPr="009738C9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sz w:val="16"/>
                <w:szCs w:val="16"/>
              </w:rPr>
            </w:pPr>
            <w:r w:rsidRPr="009738C9">
              <w:rPr>
                <w:b/>
                <w:i/>
                <w:sz w:val="16"/>
                <w:szCs w:val="16"/>
              </w:rPr>
              <w:t>(830 1 00 00000 00 0000 000)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B1951">
              <w:rPr>
                <w:b/>
                <w:i/>
                <w:sz w:val="18"/>
                <w:szCs w:val="18"/>
              </w:rPr>
              <w:t>161 300,5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B1951">
              <w:rPr>
                <w:b/>
                <w:i/>
                <w:sz w:val="18"/>
                <w:szCs w:val="18"/>
              </w:rPr>
              <w:t>170 217,2</w:t>
            </w:r>
          </w:p>
        </w:tc>
        <w:tc>
          <w:tcPr>
            <w:tcW w:w="1153" w:type="dxa"/>
            <w:tcBorders>
              <w:top w:val="double" w:sz="4" w:space="0" w:color="auto"/>
            </w:tcBorders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2B1951">
              <w:rPr>
                <w:b/>
                <w:i/>
                <w:sz w:val="18"/>
                <w:szCs w:val="18"/>
              </w:rPr>
              <w:t>8 916,7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:rsidR="00FF5503" w:rsidRPr="00D44080" w:rsidRDefault="00FF5503" w:rsidP="001C4B9A">
            <w:pPr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5,5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tcBorders>
              <w:top w:val="double" w:sz="4" w:space="0" w:color="auto"/>
            </w:tcBorders>
            <w:vAlign w:val="center"/>
          </w:tcPr>
          <w:p w:rsidR="00FF5503" w:rsidRPr="002A195B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B6130">
              <w:rPr>
                <w:sz w:val="18"/>
                <w:szCs w:val="18"/>
              </w:rPr>
              <w:t xml:space="preserve">Государственная пошлина за выдачу </w:t>
            </w:r>
            <w:r>
              <w:rPr>
                <w:sz w:val="18"/>
                <w:szCs w:val="18"/>
              </w:rPr>
              <w:t>…</w:t>
            </w:r>
            <w:r w:rsidRPr="009B6130">
              <w:rPr>
                <w:sz w:val="18"/>
                <w:szCs w:val="18"/>
              </w:rPr>
              <w:t xml:space="preserve"> специального разрешения на движение </w:t>
            </w:r>
            <w:r>
              <w:rPr>
                <w:sz w:val="18"/>
                <w:szCs w:val="18"/>
              </w:rPr>
              <w:t>…</w:t>
            </w:r>
            <w:r w:rsidRPr="009B6130">
              <w:rPr>
                <w:sz w:val="18"/>
                <w:szCs w:val="18"/>
              </w:rPr>
              <w:t xml:space="preserve"> транспортных средств, осуществляющих перевозки опасных, тяжеловесных и (или) крупногабаритных грузов</w:t>
            </w:r>
            <w:r>
              <w:rPr>
                <w:sz w:val="18"/>
                <w:szCs w:val="18"/>
              </w:rPr>
              <w:t>…</w:t>
            </w:r>
            <w:r w:rsidRPr="009B6130">
              <w:rPr>
                <w:sz w:val="18"/>
                <w:szCs w:val="18"/>
              </w:rPr>
              <w:t xml:space="preserve"> </w:t>
            </w:r>
            <w:r w:rsidRPr="002A195B">
              <w:rPr>
                <w:sz w:val="18"/>
                <w:szCs w:val="18"/>
              </w:rPr>
              <w:t>(</w:t>
            </w:r>
            <w:r w:rsidRPr="009B6130">
              <w:rPr>
                <w:sz w:val="18"/>
                <w:szCs w:val="18"/>
              </w:rPr>
              <w:t>830 1 08 07172 01 0000 110</w:t>
            </w:r>
            <w:r w:rsidRPr="002A195B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368,0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244,8</w:t>
            </w:r>
          </w:p>
        </w:tc>
        <w:tc>
          <w:tcPr>
            <w:tcW w:w="1153" w:type="dxa"/>
            <w:tcBorders>
              <w:top w:val="double" w:sz="4" w:space="0" w:color="auto"/>
            </w:tcBorders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-123,2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:rsidR="00FF5503" w:rsidRPr="00D44080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-33,5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2A195B" w:rsidRDefault="00FF5503" w:rsidP="001C4B9A">
            <w:pPr>
              <w:rPr>
                <w:sz w:val="18"/>
                <w:szCs w:val="18"/>
              </w:rPr>
            </w:pPr>
            <w:r w:rsidRPr="009B6130">
              <w:rPr>
                <w:sz w:val="18"/>
                <w:szCs w:val="18"/>
              </w:rPr>
              <w:t xml:space="preserve">Плата за оказание услуг по присоединению объектов дорожного сервиса к автомобильным дорогам </w:t>
            </w:r>
            <w:r>
              <w:rPr>
                <w:sz w:val="18"/>
                <w:szCs w:val="18"/>
              </w:rPr>
              <w:t>…</w:t>
            </w:r>
            <w:r w:rsidRPr="002A195B">
              <w:rPr>
                <w:sz w:val="18"/>
                <w:szCs w:val="18"/>
              </w:rPr>
              <w:t>(830 1 13 01520 02 0000 130)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75,3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24,0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-51,3</w:t>
            </w:r>
          </w:p>
        </w:tc>
        <w:tc>
          <w:tcPr>
            <w:tcW w:w="711" w:type="dxa"/>
            <w:vAlign w:val="center"/>
          </w:tcPr>
          <w:p w:rsidR="00FF5503" w:rsidRPr="00D44080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-68,1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Default="00FF5503" w:rsidP="001C4B9A">
            <w:pPr>
              <w:autoSpaceDE w:val="0"/>
              <w:autoSpaceDN w:val="0"/>
              <w:adjustRightInd w:val="0"/>
              <w:ind w:left="34" w:right="-57"/>
              <w:contextualSpacing/>
              <w:jc w:val="both"/>
              <w:rPr>
                <w:sz w:val="18"/>
                <w:szCs w:val="18"/>
              </w:rPr>
            </w:pPr>
            <w:r w:rsidRPr="002A195B">
              <w:rPr>
                <w:sz w:val="18"/>
                <w:szCs w:val="18"/>
              </w:rPr>
              <w:t xml:space="preserve">Прочие доходы от компенсации затрат бюджетов </w:t>
            </w:r>
            <w:r>
              <w:rPr>
                <w:sz w:val="18"/>
                <w:szCs w:val="18"/>
              </w:rPr>
              <w:t>…</w:t>
            </w:r>
          </w:p>
          <w:p w:rsidR="00FF5503" w:rsidRPr="002A195B" w:rsidRDefault="00FF5503" w:rsidP="001C4B9A">
            <w:pPr>
              <w:autoSpaceDE w:val="0"/>
              <w:autoSpaceDN w:val="0"/>
              <w:adjustRightInd w:val="0"/>
              <w:ind w:left="34" w:right="-57"/>
              <w:contextualSpacing/>
              <w:jc w:val="both"/>
              <w:rPr>
                <w:sz w:val="18"/>
                <w:szCs w:val="18"/>
              </w:rPr>
            </w:pPr>
            <w:r w:rsidRPr="002A195B">
              <w:rPr>
                <w:sz w:val="18"/>
                <w:szCs w:val="18"/>
              </w:rPr>
              <w:t>(830 1 13 02992 02 0000 130)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224,9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851,5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626,6</w:t>
            </w:r>
          </w:p>
        </w:tc>
        <w:tc>
          <w:tcPr>
            <w:tcW w:w="711" w:type="dxa"/>
            <w:vAlign w:val="center"/>
          </w:tcPr>
          <w:p w:rsidR="00FF5503" w:rsidRPr="00D44080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3,8 раза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</w:tcPr>
          <w:p w:rsidR="00FF5503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67290E">
              <w:rPr>
                <w:sz w:val="18"/>
                <w:szCs w:val="18"/>
              </w:rPr>
              <w:t xml:space="preserve">Платежи, взимаемые </w:t>
            </w:r>
            <w:r>
              <w:rPr>
                <w:sz w:val="18"/>
                <w:szCs w:val="18"/>
              </w:rPr>
              <w:t xml:space="preserve">… </w:t>
            </w:r>
            <w:r w:rsidRPr="0067290E">
              <w:rPr>
                <w:sz w:val="18"/>
                <w:szCs w:val="18"/>
              </w:rPr>
              <w:t xml:space="preserve"> за выполнение определенных функций </w:t>
            </w:r>
          </w:p>
          <w:p w:rsidR="00FF5503" w:rsidRPr="0067290E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67290E">
              <w:rPr>
                <w:sz w:val="18"/>
                <w:szCs w:val="18"/>
              </w:rPr>
              <w:t>(830 1 15 02020 02 0000 140)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1 689,8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1 932,0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242,2</w:t>
            </w:r>
          </w:p>
        </w:tc>
        <w:tc>
          <w:tcPr>
            <w:tcW w:w="711" w:type="dxa"/>
            <w:vAlign w:val="center"/>
          </w:tcPr>
          <w:p w:rsidR="00FF5503" w:rsidRPr="00D44080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</w:tcPr>
          <w:p w:rsidR="00FF5503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442614">
              <w:rPr>
                <w:sz w:val="18"/>
                <w:szCs w:val="18"/>
              </w:rPr>
              <w:t xml:space="preserve">Денежные взыскания (штрафы) за нарушение законодательства </w:t>
            </w:r>
            <w:r>
              <w:rPr>
                <w:sz w:val="18"/>
                <w:szCs w:val="18"/>
              </w:rPr>
              <w:t>РФ о БДД</w:t>
            </w:r>
            <w:r w:rsidRPr="0067290E">
              <w:rPr>
                <w:sz w:val="18"/>
                <w:szCs w:val="18"/>
              </w:rPr>
              <w:t xml:space="preserve"> </w:t>
            </w:r>
          </w:p>
          <w:p w:rsidR="00FF5503" w:rsidRPr="0067290E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67290E">
              <w:rPr>
                <w:sz w:val="18"/>
                <w:szCs w:val="18"/>
              </w:rPr>
              <w:t>(</w:t>
            </w:r>
            <w:r w:rsidRPr="00442614">
              <w:rPr>
                <w:sz w:val="18"/>
                <w:szCs w:val="18"/>
              </w:rPr>
              <w:t>830 1 16 30020 01 0000 140</w:t>
            </w:r>
            <w:r w:rsidRPr="0067290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16,5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1,5</w:t>
            </w:r>
          </w:p>
        </w:tc>
        <w:tc>
          <w:tcPr>
            <w:tcW w:w="711" w:type="dxa"/>
            <w:vAlign w:val="center"/>
          </w:tcPr>
          <w:p w:rsidR="00FF5503" w:rsidRPr="00D44080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2A195B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A195B">
              <w:rPr>
                <w:sz w:val="18"/>
                <w:szCs w:val="18"/>
              </w:rPr>
              <w:t xml:space="preserve">Поступления сумм в возмещение вреда, причиняемого автомобильным дорогам </w:t>
            </w:r>
            <w:r>
              <w:rPr>
                <w:sz w:val="18"/>
                <w:szCs w:val="18"/>
              </w:rPr>
              <w:t>… (</w:t>
            </w:r>
            <w:r w:rsidRPr="002A195B">
              <w:rPr>
                <w:sz w:val="18"/>
                <w:szCs w:val="18"/>
              </w:rPr>
              <w:t>830 1 16 37020 02 0000 140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4 850,0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10 420,1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5 570,1</w:t>
            </w:r>
          </w:p>
        </w:tc>
        <w:tc>
          <w:tcPr>
            <w:tcW w:w="711" w:type="dxa"/>
            <w:vAlign w:val="center"/>
          </w:tcPr>
          <w:p w:rsidR="00FF5503" w:rsidRPr="00D44080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2,1 раза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334E25">
              <w:rPr>
                <w:sz w:val="18"/>
                <w:szCs w:val="18"/>
              </w:rPr>
              <w:t xml:space="preserve">Поступления сумм в возмещение ущерба в связи с нарушением исполнителем (подрядчиком) условий государственных </w:t>
            </w:r>
            <w:r>
              <w:rPr>
                <w:sz w:val="18"/>
                <w:szCs w:val="18"/>
              </w:rPr>
              <w:t xml:space="preserve">контрактов… </w:t>
            </w:r>
          </w:p>
          <w:p w:rsidR="00FF5503" w:rsidRPr="00334E25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34E25">
              <w:rPr>
                <w:sz w:val="18"/>
                <w:szCs w:val="18"/>
              </w:rPr>
              <w:t>830 1 16 46000 02 0000 140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154 038,0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156 572,9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2 534,9</w:t>
            </w:r>
          </w:p>
        </w:tc>
        <w:tc>
          <w:tcPr>
            <w:tcW w:w="711" w:type="dxa"/>
            <w:vAlign w:val="center"/>
          </w:tcPr>
          <w:p w:rsidR="00FF5503" w:rsidRPr="00234518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5C4AD6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5C4AD6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  <w:r>
              <w:rPr>
                <w:sz w:val="18"/>
                <w:szCs w:val="18"/>
              </w:rPr>
              <w:t>…</w:t>
            </w:r>
            <w:r w:rsidRPr="005C4AD6">
              <w:rPr>
                <w:sz w:val="18"/>
                <w:szCs w:val="18"/>
              </w:rPr>
              <w:t xml:space="preserve"> (830 1 16 90020 02 0000 140)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39,5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152,2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112,7</w:t>
            </w:r>
          </w:p>
        </w:tc>
        <w:tc>
          <w:tcPr>
            <w:tcW w:w="711" w:type="dxa"/>
            <w:vAlign w:val="center"/>
          </w:tcPr>
          <w:p w:rsidR="00FF5503" w:rsidRPr="00234518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3,9 раза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5C4AD6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442614">
              <w:rPr>
                <w:sz w:val="18"/>
                <w:szCs w:val="18"/>
              </w:rPr>
              <w:t>Невыясненные поступления</w:t>
            </w:r>
            <w:r>
              <w:rPr>
                <w:sz w:val="18"/>
                <w:szCs w:val="18"/>
              </w:rPr>
              <w:t>…</w:t>
            </w:r>
            <w:r w:rsidRPr="005C4AD6">
              <w:rPr>
                <w:sz w:val="18"/>
                <w:szCs w:val="18"/>
              </w:rPr>
              <w:t xml:space="preserve"> (</w:t>
            </w:r>
            <w:r w:rsidRPr="00442614">
              <w:rPr>
                <w:sz w:val="18"/>
                <w:szCs w:val="18"/>
              </w:rPr>
              <w:t>830 1 17 01020 02 0000 180</w:t>
            </w:r>
            <w:r w:rsidRPr="005C4AD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3,2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3,2</w:t>
            </w:r>
          </w:p>
        </w:tc>
        <w:tc>
          <w:tcPr>
            <w:tcW w:w="711" w:type="dxa"/>
            <w:vAlign w:val="center"/>
          </w:tcPr>
          <w:p w:rsidR="00FF5503" w:rsidRPr="00234518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9738C9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i/>
                <w:sz w:val="16"/>
                <w:szCs w:val="16"/>
              </w:rPr>
            </w:pPr>
            <w:r w:rsidRPr="009738C9">
              <w:rPr>
                <w:b/>
                <w:i/>
                <w:sz w:val="18"/>
                <w:szCs w:val="18"/>
              </w:rPr>
              <w:t xml:space="preserve">Безвозмездные поступления </w:t>
            </w:r>
            <w:r w:rsidRPr="009738C9">
              <w:rPr>
                <w:b/>
                <w:i/>
                <w:sz w:val="16"/>
                <w:szCs w:val="16"/>
              </w:rPr>
              <w:t>(830 2 00 00000 00 0000 000)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B1951">
              <w:rPr>
                <w:b/>
                <w:i/>
                <w:sz w:val="18"/>
                <w:szCs w:val="18"/>
              </w:rPr>
              <w:t>4 324 003,8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B1951">
              <w:rPr>
                <w:b/>
                <w:i/>
                <w:sz w:val="18"/>
                <w:szCs w:val="18"/>
              </w:rPr>
              <w:t>3 889 949,0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2B1951">
            <w:pPr>
              <w:contextualSpacing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2B1951">
              <w:rPr>
                <w:b/>
                <w:i/>
                <w:sz w:val="18"/>
                <w:szCs w:val="18"/>
              </w:rPr>
              <w:t>-434 0</w:t>
            </w:r>
            <w:r w:rsidR="002B1951" w:rsidRPr="002B1951">
              <w:rPr>
                <w:b/>
                <w:i/>
                <w:sz w:val="18"/>
                <w:szCs w:val="18"/>
              </w:rPr>
              <w:t>5</w:t>
            </w:r>
            <w:r w:rsidRPr="002B1951">
              <w:rPr>
                <w:b/>
                <w:i/>
                <w:sz w:val="18"/>
                <w:szCs w:val="18"/>
              </w:rPr>
              <w:t>4,8</w:t>
            </w:r>
          </w:p>
        </w:tc>
        <w:tc>
          <w:tcPr>
            <w:tcW w:w="711" w:type="dxa"/>
            <w:vAlign w:val="center"/>
          </w:tcPr>
          <w:p w:rsidR="00FF5503" w:rsidRPr="00593182" w:rsidRDefault="00FF5503" w:rsidP="001C4B9A">
            <w:pPr>
              <w:contextualSpacing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6C3B79">
              <w:rPr>
                <w:b/>
                <w:i/>
                <w:sz w:val="18"/>
                <w:szCs w:val="18"/>
              </w:rPr>
              <w:t>-10,0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624804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442614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…</w:t>
            </w:r>
            <w:r w:rsidRPr="00442614">
              <w:rPr>
                <w:sz w:val="18"/>
                <w:szCs w:val="18"/>
              </w:rPr>
              <w:t xml:space="preserve"> в рамках обеспечения устойчивого развития сельских территорий</w:t>
            </w:r>
            <w:r w:rsidRPr="00624804">
              <w:rPr>
                <w:sz w:val="18"/>
                <w:szCs w:val="18"/>
              </w:rPr>
              <w:t xml:space="preserve"> (</w:t>
            </w:r>
            <w:r w:rsidRPr="00442614">
              <w:rPr>
                <w:sz w:val="18"/>
                <w:szCs w:val="18"/>
              </w:rPr>
              <w:t>830 2 02 27567 02 0000 150</w:t>
            </w:r>
            <w:r w:rsidRPr="00624804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132 840,1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113 880,8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2B1951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-18 9</w:t>
            </w:r>
            <w:r w:rsidR="002B1951" w:rsidRPr="002B1951">
              <w:rPr>
                <w:sz w:val="18"/>
                <w:szCs w:val="18"/>
              </w:rPr>
              <w:t>5</w:t>
            </w:r>
            <w:r w:rsidRPr="002B1951">
              <w:rPr>
                <w:sz w:val="18"/>
                <w:szCs w:val="18"/>
              </w:rPr>
              <w:t>9,3</w:t>
            </w:r>
          </w:p>
        </w:tc>
        <w:tc>
          <w:tcPr>
            <w:tcW w:w="711" w:type="dxa"/>
            <w:vAlign w:val="center"/>
          </w:tcPr>
          <w:p w:rsidR="00FF5503" w:rsidRPr="003517EC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-14,3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624804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624804">
              <w:rPr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>…</w:t>
            </w:r>
            <w:r w:rsidRPr="00624804">
              <w:rPr>
                <w:sz w:val="18"/>
                <w:szCs w:val="18"/>
              </w:rPr>
              <w:t>на финансовое обеспечение дорожной деятельности (830 2 02 45390 02 0000 150)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1 183 919,7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628 731,5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-555 188,2</w:t>
            </w:r>
          </w:p>
        </w:tc>
        <w:tc>
          <w:tcPr>
            <w:tcW w:w="711" w:type="dxa"/>
            <w:vAlign w:val="center"/>
          </w:tcPr>
          <w:p w:rsidR="00FF5503" w:rsidRPr="003517EC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-46,9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442614">
              <w:rPr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>…</w:t>
            </w:r>
            <w:r w:rsidRPr="00442614">
              <w:rPr>
                <w:sz w:val="18"/>
                <w:szCs w:val="18"/>
              </w:rPr>
              <w:t xml:space="preserve"> в рамках реализации </w:t>
            </w:r>
            <w:r>
              <w:rPr>
                <w:sz w:val="18"/>
                <w:szCs w:val="18"/>
              </w:rPr>
              <w:t>НП БКАД</w:t>
            </w:r>
          </w:p>
          <w:p w:rsidR="00FF5503" w:rsidRPr="00081DC2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081DC2">
              <w:rPr>
                <w:sz w:val="18"/>
                <w:szCs w:val="18"/>
              </w:rPr>
              <w:t xml:space="preserve"> (</w:t>
            </w:r>
            <w:r w:rsidRPr="00442614">
              <w:rPr>
                <w:sz w:val="18"/>
                <w:szCs w:val="18"/>
              </w:rPr>
              <w:t>830 2 02 45393 02 0000 150</w:t>
            </w:r>
            <w:r w:rsidRPr="00081DC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2 887 833,5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3 027 677,0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139 843,5</w:t>
            </w:r>
          </w:p>
        </w:tc>
        <w:tc>
          <w:tcPr>
            <w:tcW w:w="711" w:type="dxa"/>
            <w:vAlign w:val="center"/>
          </w:tcPr>
          <w:p w:rsidR="00FF5503" w:rsidRPr="00EC716D" w:rsidRDefault="00FF5503" w:rsidP="001C4B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9D747A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442614">
              <w:rPr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>…</w:t>
            </w:r>
            <w:r w:rsidRPr="00442614">
              <w:rPr>
                <w:sz w:val="18"/>
                <w:szCs w:val="18"/>
              </w:rPr>
              <w:t xml:space="preserve"> при ликвидации последствий чрезвычайных ситуаций</w:t>
            </w:r>
            <w:r>
              <w:rPr>
                <w:sz w:val="18"/>
                <w:szCs w:val="18"/>
              </w:rPr>
              <w:t xml:space="preserve"> (</w:t>
            </w:r>
            <w:r w:rsidRPr="00442614">
              <w:rPr>
                <w:sz w:val="18"/>
                <w:szCs w:val="18"/>
              </w:rPr>
              <w:t>830 2 02 45479 02 0000 150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119 410,5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2B1951">
              <w:rPr>
                <w:sz w:val="18"/>
                <w:szCs w:val="18"/>
              </w:rPr>
              <w:t>115 517,7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2B1951">
              <w:rPr>
                <w:sz w:val="18"/>
                <w:szCs w:val="18"/>
              </w:rPr>
              <w:t>-3 892,8</w:t>
            </w:r>
          </w:p>
        </w:tc>
        <w:tc>
          <w:tcPr>
            <w:tcW w:w="711" w:type="dxa"/>
            <w:vAlign w:val="center"/>
          </w:tcPr>
          <w:p w:rsidR="00FF5503" w:rsidRPr="00593182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647400">
              <w:rPr>
                <w:sz w:val="18"/>
                <w:szCs w:val="18"/>
              </w:rPr>
              <w:t>-3,3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442614">
              <w:rPr>
                <w:sz w:val="18"/>
                <w:szCs w:val="18"/>
              </w:rPr>
              <w:t xml:space="preserve">Доходы бюджетов </w:t>
            </w:r>
            <w:r>
              <w:rPr>
                <w:sz w:val="18"/>
                <w:szCs w:val="18"/>
              </w:rPr>
              <w:t>…</w:t>
            </w:r>
            <w:r w:rsidRPr="00442614">
              <w:rPr>
                <w:sz w:val="18"/>
                <w:szCs w:val="18"/>
              </w:rPr>
              <w:t xml:space="preserve"> от возврата </w:t>
            </w:r>
            <w:r>
              <w:rPr>
                <w:sz w:val="18"/>
                <w:szCs w:val="18"/>
              </w:rPr>
              <w:t>…</w:t>
            </w:r>
            <w:r w:rsidRPr="00442614">
              <w:rPr>
                <w:sz w:val="18"/>
                <w:szCs w:val="18"/>
              </w:rPr>
              <w:t xml:space="preserve"> остатков субсидий прошлых лет</w:t>
            </w:r>
            <w:r>
              <w:rPr>
                <w:sz w:val="18"/>
                <w:szCs w:val="18"/>
              </w:rPr>
              <w:t xml:space="preserve"> </w:t>
            </w:r>
          </w:p>
          <w:p w:rsidR="00FF5503" w:rsidRPr="00442614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42614">
              <w:rPr>
                <w:sz w:val="18"/>
                <w:szCs w:val="18"/>
              </w:rPr>
              <w:t>830 2 18 02030 02 0000 150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1 085,2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2B1951">
              <w:rPr>
                <w:sz w:val="18"/>
                <w:szCs w:val="18"/>
              </w:rPr>
              <w:t>1 085,2</w:t>
            </w:r>
          </w:p>
        </w:tc>
        <w:tc>
          <w:tcPr>
            <w:tcW w:w="711" w:type="dxa"/>
            <w:vAlign w:val="center"/>
          </w:tcPr>
          <w:p w:rsidR="00FF5503" w:rsidRPr="00593182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442614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442614">
              <w:rPr>
                <w:sz w:val="18"/>
                <w:szCs w:val="18"/>
              </w:rPr>
              <w:t xml:space="preserve">Доходы </w:t>
            </w:r>
            <w:r>
              <w:rPr>
                <w:sz w:val="18"/>
                <w:szCs w:val="18"/>
              </w:rPr>
              <w:t>…</w:t>
            </w:r>
            <w:r w:rsidRPr="00442614">
              <w:rPr>
                <w:sz w:val="18"/>
                <w:szCs w:val="18"/>
              </w:rPr>
              <w:t xml:space="preserve"> от возврата прочих остатков субсидий, субвенций и иных межбюджетных трансфертов</w:t>
            </w:r>
            <w:r>
              <w:rPr>
                <w:sz w:val="18"/>
                <w:szCs w:val="18"/>
              </w:rPr>
              <w:t>…</w:t>
            </w:r>
            <w:r w:rsidRPr="00442614">
              <w:rPr>
                <w:sz w:val="18"/>
                <w:szCs w:val="18"/>
              </w:rPr>
              <w:t xml:space="preserve"> прошлых лет из бюджетов муниципальных образований</w:t>
            </w:r>
            <w:r>
              <w:rPr>
                <w:sz w:val="18"/>
                <w:szCs w:val="18"/>
              </w:rPr>
              <w:t xml:space="preserve"> (</w:t>
            </w:r>
            <w:r w:rsidRPr="00442614">
              <w:rPr>
                <w:sz w:val="18"/>
                <w:szCs w:val="18"/>
              </w:rPr>
              <w:t>830 2 18 60010 02 0000 150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6 632,2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2B1951">
              <w:rPr>
                <w:sz w:val="18"/>
                <w:szCs w:val="18"/>
              </w:rPr>
              <w:t>6 632,2</w:t>
            </w:r>
          </w:p>
        </w:tc>
        <w:tc>
          <w:tcPr>
            <w:tcW w:w="711" w:type="dxa"/>
            <w:vAlign w:val="center"/>
          </w:tcPr>
          <w:p w:rsidR="00FF5503" w:rsidRPr="00593182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F5503" w:rsidRPr="00DE0580" w:rsidTr="001C4B9A">
        <w:trPr>
          <w:trHeight w:val="20"/>
        </w:trPr>
        <w:tc>
          <w:tcPr>
            <w:tcW w:w="6380" w:type="dxa"/>
            <w:vAlign w:val="center"/>
          </w:tcPr>
          <w:p w:rsidR="00FF5503" w:rsidRPr="00EC716D" w:rsidRDefault="00FF5503" w:rsidP="001C4B9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442614">
              <w:rPr>
                <w:sz w:val="18"/>
                <w:szCs w:val="18"/>
              </w:rPr>
              <w:t xml:space="preserve">Возврат остатков субсидий на реализацию мероприятий федеральной целевой программы </w:t>
            </w:r>
            <w:r>
              <w:rPr>
                <w:sz w:val="18"/>
                <w:szCs w:val="18"/>
              </w:rPr>
              <w:t>«</w:t>
            </w:r>
            <w:r w:rsidRPr="00442614">
              <w:rPr>
                <w:sz w:val="18"/>
                <w:szCs w:val="18"/>
              </w:rPr>
              <w:t>Устойчивое развитие сельских территорий на 2014 - 2017 годы и на период до 2020 года</w:t>
            </w:r>
            <w:r>
              <w:rPr>
                <w:sz w:val="18"/>
                <w:szCs w:val="18"/>
              </w:rPr>
              <w:t>»</w:t>
            </w:r>
            <w:r w:rsidRPr="004426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 (</w:t>
            </w:r>
            <w:r w:rsidRPr="00442614">
              <w:rPr>
                <w:sz w:val="18"/>
                <w:szCs w:val="18"/>
              </w:rPr>
              <w:t>830 2 19 25018 02 0000 150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-3 575,4</w:t>
            </w:r>
          </w:p>
        </w:tc>
        <w:tc>
          <w:tcPr>
            <w:tcW w:w="1153" w:type="dxa"/>
            <w:vAlign w:val="center"/>
          </w:tcPr>
          <w:p w:rsidR="00FF5503" w:rsidRPr="002B1951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B1951">
              <w:rPr>
                <w:sz w:val="18"/>
                <w:szCs w:val="18"/>
              </w:rPr>
              <w:t>-3 575,4</w:t>
            </w:r>
          </w:p>
        </w:tc>
        <w:tc>
          <w:tcPr>
            <w:tcW w:w="711" w:type="dxa"/>
            <w:vAlign w:val="center"/>
          </w:tcPr>
          <w:p w:rsidR="00FF5503" w:rsidRPr="00EC716D" w:rsidRDefault="00FF5503" w:rsidP="001C4B9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</w:tbl>
    <w:p w:rsidR="00AC1101" w:rsidRDefault="00AC1101"/>
    <w:p w:rsidR="00792DAE" w:rsidRDefault="00792DAE"/>
    <w:p w:rsidR="00792DAE" w:rsidRDefault="00792DAE" w:rsidP="00792DAE">
      <w:r>
        <w:t xml:space="preserve">Ведущий инспектор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Черниченко</w:t>
      </w:r>
    </w:p>
    <w:p w:rsidR="00792DAE" w:rsidRDefault="00792DAE"/>
    <w:p w:rsidR="00792DAE" w:rsidRDefault="00792DAE"/>
    <w:p w:rsidR="00B44AEC" w:rsidRDefault="00B44AEC"/>
    <w:p w:rsidR="00B44AEC" w:rsidRDefault="00B44AEC"/>
    <w:p w:rsidR="00B44AEC" w:rsidRDefault="00B44AEC"/>
    <w:p w:rsidR="008A74D9" w:rsidRDefault="008A74D9"/>
    <w:p w:rsidR="008A74D9" w:rsidRDefault="008A74D9"/>
    <w:p w:rsidR="008A74D9" w:rsidRDefault="008A74D9"/>
    <w:p w:rsidR="008A74D9" w:rsidRDefault="008A74D9"/>
    <w:p w:rsidR="000A078C" w:rsidRDefault="000A078C"/>
    <w:p w:rsidR="00B44AEC" w:rsidRDefault="00B44AEC"/>
    <w:p w:rsidR="00B44AEC" w:rsidRDefault="00B44AEC"/>
    <w:p w:rsidR="00B44AEC" w:rsidRDefault="00B44AEC"/>
    <w:p w:rsidR="00B44AEC" w:rsidRDefault="00B44AEC"/>
    <w:p w:rsidR="00792DAE" w:rsidRDefault="00792DAE" w:rsidP="00AC11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792DAE" w:rsidRDefault="00792DAE" w:rsidP="00AC1101">
      <w:pPr>
        <w:ind w:firstLine="709"/>
        <w:jc w:val="right"/>
        <w:rPr>
          <w:sz w:val="22"/>
          <w:szCs w:val="22"/>
        </w:rPr>
      </w:pPr>
    </w:p>
    <w:p w:rsidR="00792DAE" w:rsidRDefault="00792DAE" w:rsidP="00792DAE">
      <w:pPr>
        <w:jc w:val="center"/>
        <w:rPr>
          <w:sz w:val="22"/>
          <w:szCs w:val="22"/>
        </w:rPr>
      </w:pPr>
      <w:r w:rsidRPr="00EE144B">
        <w:rPr>
          <w:b/>
        </w:rPr>
        <w:t xml:space="preserve">Анализ исполнения бюджетных назначений </w:t>
      </w:r>
      <w:r>
        <w:rPr>
          <w:b/>
        </w:rPr>
        <w:t>в 2019 году</w:t>
      </w:r>
    </w:p>
    <w:tbl>
      <w:tblPr>
        <w:tblW w:w="10399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3119"/>
        <w:gridCol w:w="1275"/>
        <w:gridCol w:w="1273"/>
        <w:gridCol w:w="1279"/>
        <w:gridCol w:w="975"/>
        <w:gridCol w:w="1060"/>
      </w:tblGrid>
      <w:tr w:rsidR="00B44AEC" w:rsidRPr="00B44AEC" w:rsidTr="00552E6B">
        <w:trPr>
          <w:trHeight w:val="20"/>
        </w:trPr>
        <w:tc>
          <w:tcPr>
            <w:tcW w:w="141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КБК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Законом </w:t>
            </w:r>
          </w:p>
        </w:tc>
        <w:tc>
          <w:tcPr>
            <w:tcW w:w="127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B44AEC">
              <w:rPr>
                <w:sz w:val="18"/>
                <w:szCs w:val="18"/>
              </w:rPr>
              <w:t>юджетные назначения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Исполнено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B44AEC" w:rsidRPr="00B44AEC" w:rsidTr="00552E6B">
        <w:trPr>
          <w:trHeight w:val="20"/>
        </w:trPr>
        <w:tc>
          <w:tcPr>
            <w:tcW w:w="141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сумма</w:t>
            </w:r>
          </w:p>
        </w:tc>
        <w:tc>
          <w:tcPr>
            <w:tcW w:w="1060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%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12 041 539,1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11 634 686,9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11 198 846,9</w:t>
            </w: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4AEC" w:rsidRPr="00B44AEC" w:rsidRDefault="00B44AEC" w:rsidP="00552E6B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435 8</w:t>
            </w:r>
            <w:r w:rsidR="00552E6B">
              <w:rPr>
                <w:b/>
                <w:bCs/>
                <w:sz w:val="18"/>
                <w:szCs w:val="18"/>
              </w:rPr>
              <w:t>40</w:t>
            </w:r>
            <w:r w:rsidRPr="00B44AEC">
              <w:rPr>
                <w:b/>
                <w:bCs/>
                <w:sz w:val="18"/>
                <w:szCs w:val="18"/>
              </w:rPr>
              <w:t>,</w:t>
            </w:r>
            <w:r w:rsidR="00552E6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3,7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 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 xml:space="preserve">  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 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 xml:space="preserve">01 00 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175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B44AEC">
              <w:rPr>
                <w:b/>
                <w:bCs/>
                <w:sz w:val="18"/>
                <w:szCs w:val="18"/>
              </w:rPr>
              <w:t>008,0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175 008,0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175 008,0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 xml:space="preserve">01 13 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Другие общегосударственные вопросы (Субсидии на проведение ремонта…)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175  008,0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175 008,0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175 008,0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 xml:space="preserve">04 00 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11 866 531,1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11 459 678,9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11 023 838,9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552E6B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435 8</w:t>
            </w:r>
            <w:r w:rsidR="00552E6B">
              <w:rPr>
                <w:b/>
                <w:bCs/>
                <w:sz w:val="18"/>
                <w:szCs w:val="18"/>
              </w:rPr>
              <w:t>40</w:t>
            </w:r>
            <w:r w:rsidRPr="00B44AEC">
              <w:rPr>
                <w:b/>
                <w:bCs/>
                <w:sz w:val="18"/>
                <w:szCs w:val="18"/>
              </w:rPr>
              <w:t>,</w:t>
            </w:r>
            <w:r w:rsidR="00552E6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3,8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 xml:space="preserve">04 08 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1 292 831,7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1 289 919,3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1 220 037,0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552E6B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69 882,</w:t>
            </w:r>
            <w:r w:rsidR="00552E6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5,4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 xml:space="preserve"> 46 100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44AEC">
              <w:rPr>
                <w:i/>
                <w:iCs/>
                <w:color w:val="000000"/>
                <w:sz w:val="18"/>
                <w:szCs w:val="18"/>
              </w:rPr>
              <w:t>ПП «Общественный транспорт»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1 142 582,9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1 139 277,2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1 075 241,7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64 035,5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5,6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46 101 2163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color w:val="000000"/>
                <w:sz w:val="18"/>
                <w:szCs w:val="18"/>
              </w:rPr>
            </w:pPr>
            <w:r w:rsidRPr="00B44AEC">
              <w:rPr>
                <w:color w:val="000000"/>
                <w:sz w:val="18"/>
                <w:szCs w:val="18"/>
              </w:rPr>
              <w:t>Автомобильный транспорт (контракты)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72 606,0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65 919,8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6 686,2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9,2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46 101 808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color w:val="000000"/>
                <w:sz w:val="18"/>
                <w:szCs w:val="18"/>
              </w:rPr>
            </w:pPr>
            <w:r w:rsidRPr="00B44AEC">
              <w:rPr>
                <w:color w:val="000000"/>
                <w:sz w:val="18"/>
                <w:szCs w:val="18"/>
              </w:rPr>
              <w:t xml:space="preserve">Субсидии на возмещение недополученных доходов, в том </w:t>
            </w:r>
            <w:proofErr w:type="spellStart"/>
            <w:r w:rsidRPr="00B44AEC">
              <w:rPr>
                <w:color w:val="000000"/>
                <w:sz w:val="18"/>
                <w:szCs w:val="18"/>
              </w:rPr>
              <w:t>чиисле</w:t>
            </w:r>
            <w:proofErr w:type="spellEnd"/>
            <w:r w:rsidRPr="00B44AE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1 066 671,2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1 009 321,9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57 349,3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5,4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 46 101 8081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color w:val="000000"/>
                <w:sz w:val="18"/>
                <w:szCs w:val="18"/>
              </w:rPr>
            </w:pPr>
            <w:r w:rsidRPr="00B44AEC">
              <w:rPr>
                <w:color w:val="000000"/>
                <w:sz w:val="18"/>
                <w:szCs w:val="18"/>
              </w:rPr>
              <w:t>Водный транспорт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1 059,6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1 025,8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33,8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3,2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 46 101 8082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Автомобильный транспорт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209 420,0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192 422,8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16 997,3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8,1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 46 101 8083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Железнодорожный транспорт (по регулируемым тарифам)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8A74D9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44</w:t>
            </w:r>
            <w:r w:rsidR="008A74D9">
              <w:rPr>
                <w:sz w:val="18"/>
                <w:szCs w:val="18"/>
              </w:rPr>
              <w:t>5</w:t>
            </w:r>
            <w:r w:rsidRPr="00B44AEC">
              <w:rPr>
                <w:sz w:val="18"/>
                <w:szCs w:val="18"/>
              </w:rPr>
              <w:t xml:space="preserve"> </w:t>
            </w:r>
            <w:r w:rsidR="008A74D9">
              <w:rPr>
                <w:sz w:val="18"/>
                <w:szCs w:val="18"/>
              </w:rPr>
              <w:t>139</w:t>
            </w:r>
            <w:r w:rsidRPr="00B44AEC">
              <w:rPr>
                <w:sz w:val="18"/>
                <w:szCs w:val="18"/>
              </w:rPr>
              <w:t>,</w:t>
            </w:r>
            <w:r w:rsidR="008A74D9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8A74D9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</w:t>
            </w:r>
            <w:r w:rsidR="008A74D9">
              <w:rPr>
                <w:sz w:val="18"/>
                <w:szCs w:val="18"/>
              </w:rPr>
              <w:t>32</w:t>
            </w:r>
            <w:r w:rsidRPr="00B44AEC">
              <w:rPr>
                <w:sz w:val="18"/>
                <w:szCs w:val="18"/>
              </w:rPr>
              <w:t xml:space="preserve"> </w:t>
            </w:r>
            <w:r w:rsidR="008A74D9">
              <w:rPr>
                <w:sz w:val="18"/>
                <w:szCs w:val="18"/>
              </w:rPr>
              <w:t>869</w:t>
            </w:r>
            <w:r w:rsidRPr="00B44AEC">
              <w:rPr>
                <w:sz w:val="18"/>
                <w:szCs w:val="18"/>
              </w:rPr>
              <w:t>,</w:t>
            </w:r>
            <w:r w:rsidR="008A74D9">
              <w:rPr>
                <w:sz w:val="18"/>
                <w:szCs w:val="18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12 270,0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2,8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 46 101 8084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Железнодорожный транспорт (учащиеся и студенты) 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14 176,0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11 421,3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2 754,7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19,4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46 101 8123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Социальные проездные билеты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327 983,8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305 498,2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22 485,6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6,9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 46 101 8124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Ветераны ВОВ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559,2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1,2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558,0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99,8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46 101 8133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Воздушный транспорт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68 333,2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66 083,1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2 250,1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3,3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44AEC">
              <w:rPr>
                <w:i/>
                <w:iCs/>
                <w:color w:val="000000"/>
                <w:sz w:val="18"/>
                <w:szCs w:val="18"/>
              </w:rPr>
              <w:t>55 100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44AEC">
              <w:rPr>
                <w:i/>
                <w:iCs/>
                <w:color w:val="000000"/>
                <w:sz w:val="18"/>
                <w:szCs w:val="18"/>
              </w:rPr>
              <w:t>ГП «Энергосбережение»</w:t>
            </w:r>
            <w:r w:rsidRPr="00B44AEC">
              <w:rPr>
                <w:color w:val="000000"/>
                <w:sz w:val="18"/>
                <w:szCs w:val="18"/>
              </w:rPr>
              <w:t xml:space="preserve"> (приобретение автобусов)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55 137,9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55 137,9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55 137,9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90 000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B44AEC"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B44AEC">
              <w:rPr>
                <w:i/>
                <w:iCs/>
                <w:sz w:val="18"/>
                <w:szCs w:val="18"/>
              </w:rPr>
              <w:t xml:space="preserve"> направления обеспечения деятельности государственных органов Волгоградской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64 110,9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65 553,5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63 988,8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1 564,7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2,4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99 000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B44AEC"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B44AEC">
              <w:rPr>
                <w:i/>
                <w:iCs/>
                <w:sz w:val="18"/>
                <w:szCs w:val="18"/>
              </w:rPr>
              <w:t xml:space="preserve"> расходы государственных органов Волгоградской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31 000,0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29 950,7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25 668,6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4 282,1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14,3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 xml:space="preserve">04 09 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10 573 699,4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10 169 759,5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9 803 801,9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365 957,6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b/>
                <w:bCs/>
                <w:sz w:val="18"/>
                <w:szCs w:val="18"/>
              </w:rPr>
            </w:pPr>
            <w:r w:rsidRPr="00B44AEC">
              <w:rPr>
                <w:b/>
                <w:bCs/>
                <w:sz w:val="18"/>
                <w:szCs w:val="18"/>
              </w:rPr>
              <w:t>3,6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 xml:space="preserve"> 46 200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44AEC">
              <w:rPr>
                <w:i/>
                <w:iCs/>
                <w:color w:val="000000"/>
                <w:sz w:val="18"/>
                <w:szCs w:val="18"/>
              </w:rPr>
              <w:t>ПП «Дороги»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10 171 217,9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9 781 452,2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9 460 666,6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320 785,6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3,3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46 201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Основное мероприятие "Капитальный ремонт</w:t>
            </w:r>
            <w:r>
              <w:rPr>
                <w:sz w:val="18"/>
                <w:szCs w:val="18"/>
              </w:rPr>
              <w:t>…</w:t>
            </w:r>
            <w:r w:rsidRPr="00B44AEC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321 542,9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311 273,9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10 269,1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3,2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46 202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Основное мероприятие "Содержание автомобильных дорог </w:t>
            </w:r>
            <w:r>
              <w:rPr>
                <w:sz w:val="18"/>
                <w:szCs w:val="18"/>
              </w:rPr>
              <w:t>…</w:t>
            </w:r>
            <w:r w:rsidRPr="00B44AEC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2 843 712,1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2 818 239,8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25 472,2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0,9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46 203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 xml:space="preserve">Основное мероприятие "Строительство </w:t>
            </w:r>
            <w:r>
              <w:rPr>
                <w:sz w:val="18"/>
                <w:szCs w:val="18"/>
              </w:rPr>
              <w:t>…</w:t>
            </w:r>
            <w:r w:rsidRPr="00B44AEC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1 441 050,5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1 182 221,8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258 828,7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18,0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46 204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Волгоградской области при поддержке бюджета Волгоградской области"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1 151 313,3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1 125 254,1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26 059,1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2,3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46 2R1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Региональный проект "Программа дорожной деятельности Волгоградской области" (в целях реализации федерального проекта "Дорожная сеть" национального проекта "Безопасные и качественные автомобильные дороги")</w:t>
            </w:r>
          </w:p>
        </w:tc>
        <w:tc>
          <w:tcPr>
            <w:tcW w:w="1275" w:type="dxa"/>
            <w:vMerge/>
            <w:vAlign w:val="center"/>
            <w:hideMark/>
          </w:tcPr>
          <w:p w:rsidR="00B44AEC" w:rsidRPr="00B44AEC" w:rsidRDefault="00B44AEC" w:rsidP="00B44A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4 023 833,5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4 023 677,0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156,5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sz w:val="18"/>
                <w:szCs w:val="18"/>
              </w:rPr>
            </w:pPr>
            <w:r w:rsidRPr="00B44AEC">
              <w:rPr>
                <w:sz w:val="18"/>
                <w:szCs w:val="18"/>
              </w:rPr>
              <w:t>0,0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 xml:space="preserve"> 46 300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44AEC">
              <w:rPr>
                <w:i/>
                <w:iCs/>
                <w:color w:val="000000"/>
                <w:sz w:val="18"/>
                <w:szCs w:val="18"/>
              </w:rPr>
              <w:t>ПП «Повышение БДД»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120 000,0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105 826,0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101 993,8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3 832,2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3,6</w:t>
            </w:r>
          </w:p>
        </w:tc>
      </w:tr>
      <w:tr w:rsidR="00B44AEC" w:rsidRPr="00B44AEC" w:rsidTr="008A74D9">
        <w:trPr>
          <w:trHeight w:val="20"/>
        </w:trPr>
        <w:tc>
          <w:tcPr>
            <w:tcW w:w="1418" w:type="dxa"/>
            <w:shd w:val="clear" w:color="auto" w:fill="auto"/>
            <w:noWrap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51 000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B44AEC" w:rsidRPr="00B44AEC" w:rsidRDefault="00B44AEC" w:rsidP="00B44AE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44AEC">
              <w:rPr>
                <w:i/>
                <w:iCs/>
                <w:color w:val="000000"/>
                <w:sz w:val="18"/>
                <w:szCs w:val="18"/>
              </w:rPr>
              <w:t>ГП «Село»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center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282 481,3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282 481,3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241 141,5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41 339,8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44AEC" w:rsidRPr="00B44AEC" w:rsidRDefault="00B44AEC" w:rsidP="00B44AEC">
            <w:pPr>
              <w:jc w:val="right"/>
              <w:rPr>
                <w:i/>
                <w:iCs/>
                <w:sz w:val="18"/>
                <w:szCs w:val="18"/>
              </w:rPr>
            </w:pPr>
            <w:r w:rsidRPr="00B44AEC">
              <w:rPr>
                <w:i/>
                <w:iCs/>
                <w:sz w:val="18"/>
                <w:szCs w:val="18"/>
              </w:rPr>
              <w:t>14,6</w:t>
            </w:r>
          </w:p>
        </w:tc>
      </w:tr>
    </w:tbl>
    <w:p w:rsidR="00792DAE" w:rsidRDefault="00792DAE" w:rsidP="00AC1101">
      <w:pPr>
        <w:ind w:firstLine="709"/>
        <w:jc w:val="right"/>
        <w:rPr>
          <w:sz w:val="22"/>
          <w:szCs w:val="22"/>
        </w:rPr>
      </w:pPr>
    </w:p>
    <w:p w:rsidR="00792DAE" w:rsidRDefault="00792DAE" w:rsidP="00AC1101">
      <w:pPr>
        <w:ind w:firstLine="709"/>
        <w:jc w:val="right"/>
        <w:rPr>
          <w:sz w:val="22"/>
          <w:szCs w:val="22"/>
        </w:rPr>
      </w:pPr>
    </w:p>
    <w:p w:rsidR="00792DAE" w:rsidRDefault="00792DAE" w:rsidP="00792DAE">
      <w:r>
        <w:t xml:space="preserve">Ведущий инспектор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Черниченко</w:t>
      </w:r>
    </w:p>
    <w:p w:rsidR="00792DAE" w:rsidRDefault="00792DAE" w:rsidP="00AC1101">
      <w:pPr>
        <w:ind w:firstLine="709"/>
        <w:jc w:val="right"/>
        <w:rPr>
          <w:sz w:val="22"/>
          <w:szCs w:val="22"/>
        </w:rPr>
      </w:pPr>
    </w:p>
    <w:p w:rsidR="00792DAE" w:rsidRDefault="00792DAE" w:rsidP="00AC1101">
      <w:pPr>
        <w:ind w:firstLine="709"/>
        <w:jc w:val="right"/>
        <w:rPr>
          <w:sz w:val="22"/>
          <w:szCs w:val="22"/>
        </w:rPr>
      </w:pPr>
    </w:p>
    <w:p w:rsidR="00AC1101" w:rsidRPr="00EE144B" w:rsidRDefault="00AC1101" w:rsidP="00AC1101">
      <w:pPr>
        <w:ind w:firstLine="709"/>
        <w:jc w:val="right"/>
        <w:rPr>
          <w:sz w:val="22"/>
          <w:szCs w:val="22"/>
        </w:rPr>
      </w:pPr>
      <w:r w:rsidRPr="00EE144B">
        <w:rPr>
          <w:sz w:val="22"/>
          <w:szCs w:val="22"/>
        </w:rPr>
        <w:t xml:space="preserve">Приложение № </w:t>
      </w:r>
      <w:r w:rsidRPr="00792DAE">
        <w:rPr>
          <w:sz w:val="22"/>
          <w:szCs w:val="22"/>
        </w:rPr>
        <w:t>3</w:t>
      </w:r>
    </w:p>
    <w:p w:rsidR="00AC1101" w:rsidRPr="00EE144B" w:rsidRDefault="00AC1101" w:rsidP="00AC1101">
      <w:pPr>
        <w:ind w:firstLine="709"/>
        <w:jc w:val="right"/>
        <w:rPr>
          <w:sz w:val="22"/>
          <w:szCs w:val="22"/>
        </w:rPr>
      </w:pPr>
    </w:p>
    <w:p w:rsidR="00AC1101" w:rsidRDefault="00AC1101" w:rsidP="00AC1101">
      <w:pPr>
        <w:jc w:val="center"/>
      </w:pPr>
      <w:r w:rsidRPr="00EE144B">
        <w:rPr>
          <w:b/>
        </w:rPr>
        <w:t>Информация о достижении значений целевых показателей</w:t>
      </w:r>
    </w:p>
    <w:p w:rsidR="00572B38" w:rsidRDefault="00572B38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"/>
        <w:gridCol w:w="6167"/>
        <w:gridCol w:w="1240"/>
        <w:gridCol w:w="1021"/>
        <w:gridCol w:w="979"/>
      </w:tblGrid>
      <w:tr w:rsidR="00572B38" w:rsidRPr="00443EC6" w:rsidTr="00F35134">
        <w:trPr>
          <w:trHeight w:val="299"/>
          <w:tblHeader/>
        </w:trPr>
        <w:tc>
          <w:tcPr>
            <w:tcW w:w="227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b/>
                <w:sz w:val="16"/>
                <w:szCs w:val="16"/>
              </w:rPr>
            </w:pPr>
            <w:r w:rsidRPr="00316BA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16BA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316BA8">
              <w:rPr>
                <w:b/>
                <w:sz w:val="16"/>
                <w:szCs w:val="16"/>
              </w:rPr>
              <w:t>/</w:t>
            </w:r>
            <w:proofErr w:type="spellStart"/>
            <w:r w:rsidRPr="00316BA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29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572B38" w:rsidRPr="000100FF" w:rsidRDefault="00572B38" w:rsidP="00F35134">
            <w:pPr>
              <w:jc w:val="center"/>
              <w:rPr>
                <w:b/>
              </w:rPr>
            </w:pPr>
            <w:r w:rsidRPr="000100FF">
              <w:rPr>
                <w:b/>
              </w:rPr>
              <w:t>Наименование целевого показателя</w:t>
            </w:r>
          </w:p>
        </w:tc>
        <w:tc>
          <w:tcPr>
            <w:tcW w:w="629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572B38" w:rsidRPr="00BC3D00" w:rsidRDefault="00572B38" w:rsidP="00F35134">
            <w:pPr>
              <w:jc w:val="center"/>
              <w:rPr>
                <w:b/>
                <w:sz w:val="16"/>
                <w:szCs w:val="16"/>
              </w:rPr>
            </w:pPr>
            <w:r w:rsidRPr="00BC3D00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518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572B38" w:rsidRPr="004F597C" w:rsidRDefault="00572B38" w:rsidP="00F35134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572B38" w:rsidRPr="004F597C" w:rsidRDefault="00572B38" w:rsidP="00F35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Отчёт</w:t>
            </w:r>
          </w:p>
        </w:tc>
      </w:tr>
      <w:tr w:rsidR="00572B38" w:rsidRPr="00443EC6" w:rsidTr="00F35134">
        <w:tc>
          <w:tcPr>
            <w:tcW w:w="5000" w:type="pct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572B38" w:rsidRPr="00BD4A41" w:rsidRDefault="00572B38" w:rsidP="00F35134">
            <w:pPr>
              <w:jc w:val="center"/>
              <w:rPr>
                <w:b/>
                <w:sz w:val="18"/>
                <w:szCs w:val="18"/>
              </w:rPr>
            </w:pPr>
            <w:r w:rsidRPr="00BD4A41">
              <w:rPr>
                <w:b/>
                <w:sz w:val="18"/>
                <w:szCs w:val="18"/>
              </w:rPr>
              <w:t>ГП «Транспорт»</w:t>
            </w:r>
          </w:p>
        </w:tc>
      </w:tr>
      <w:tr w:rsidR="00572B38" w:rsidRPr="00443EC6" w:rsidTr="00F35134">
        <w:tc>
          <w:tcPr>
            <w:tcW w:w="5000" w:type="pct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572B38" w:rsidRPr="00316BA8" w:rsidRDefault="00572B38" w:rsidP="00F35134">
            <w:pPr>
              <w:jc w:val="center"/>
              <w:rPr>
                <w:i/>
                <w:sz w:val="18"/>
                <w:szCs w:val="18"/>
              </w:rPr>
            </w:pPr>
            <w:r w:rsidRPr="00316BA8">
              <w:rPr>
                <w:i/>
                <w:sz w:val="18"/>
                <w:szCs w:val="18"/>
              </w:rPr>
              <w:t>Подпрограмма «Развитие системы общественного пассажирского транспорта Волгоградской области»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EF5C2A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Пассажирооборот автомобильного транспорта общего пользования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316BA8" w:rsidRDefault="00572B38" w:rsidP="00F3513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млн. место-км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EF5C2A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Пассажирооборот внутреннего водного транспорта общего пользования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316BA8" w:rsidRDefault="00572B38" w:rsidP="00F3513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млн. место-км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0,1*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EF5C2A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Пассажирооборот пригородного железнодорожного транспорта общего пользования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316BA8" w:rsidRDefault="00572B38" w:rsidP="00F3513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BA8">
              <w:rPr>
                <w:rFonts w:eastAsiaTheme="minorHAnsi"/>
                <w:sz w:val="16"/>
                <w:szCs w:val="16"/>
                <w:lang w:eastAsia="en-US"/>
              </w:rPr>
              <w:t xml:space="preserve">млн. </w:t>
            </w:r>
            <w:proofErr w:type="spellStart"/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вагонн</w:t>
            </w:r>
            <w:r w:rsidRPr="00316BA8">
              <w:rPr>
                <w:rFonts w:eastAsiaTheme="minorHAnsi"/>
                <w:sz w:val="16"/>
                <w:szCs w:val="16"/>
                <w:lang w:eastAsia="en-US"/>
              </w:rPr>
              <w:t>о-км</w:t>
            </w:r>
            <w:proofErr w:type="spellEnd"/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5,52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EF5C2A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Количество выполненных субсидированных авиарейсов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01758C" w:rsidRDefault="00572B38" w:rsidP="00F35134">
            <w:pPr>
              <w:tabs>
                <w:tab w:val="left" w:pos="1005"/>
              </w:tabs>
              <w:ind w:left="-73" w:hanging="5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е</w:t>
            </w:r>
            <w:r w:rsidRPr="0001758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</w:tr>
      <w:tr w:rsidR="00572B38" w:rsidRPr="00443EC6" w:rsidTr="00F35134"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72B38" w:rsidRPr="00316BA8" w:rsidRDefault="00572B38" w:rsidP="00F35134">
            <w:pPr>
              <w:jc w:val="center"/>
              <w:rPr>
                <w:i/>
                <w:sz w:val="17"/>
                <w:szCs w:val="17"/>
              </w:rPr>
            </w:pPr>
            <w:r w:rsidRPr="00316BA8">
              <w:rPr>
                <w:i/>
                <w:sz w:val="17"/>
                <w:szCs w:val="17"/>
              </w:rPr>
              <w:t>Подпрограмма «Совершенствование и развитие сети автомобильных дорог общего пользования Волгоградской области»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A961ED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5C2A">
              <w:rPr>
                <w:rFonts w:eastAsiaTheme="minorHAnsi"/>
                <w:sz w:val="18"/>
                <w:szCs w:val="18"/>
                <w:lang w:eastAsia="en-US"/>
              </w:rPr>
              <w:t>Прирост протяженности сети автомобильных дорог общего пользования регионального или межмуниципального, а также местного значения на территории Волгоградской области в результате строительства новых автомобильных дорог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EF5C2A" w:rsidRDefault="00572B38" w:rsidP="00F35134">
            <w:pPr>
              <w:jc w:val="center"/>
              <w:rPr>
                <w:sz w:val="18"/>
                <w:szCs w:val="18"/>
              </w:rPr>
            </w:pPr>
          </w:p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км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13,197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7B1C4D" w:rsidRDefault="00572B38" w:rsidP="00F3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8,585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A961ED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Прирост протяженности автомобильных дорог общего пользования регионального или межмуниципального, а также местного значения на территории Волгоградской области,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км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0,934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Pr="00E07E6A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0,934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A961ED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Прирост протяженности автомобильных дорог общего пользования регионального или межмуниципального, местного значения на территории Волгоградской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ремонта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автомобильных дорог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км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314,583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Pr="00E07E6A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357,744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A961ED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Протяженность построенных (реконструированных) автомобильных дорог общего пользования регионального или межмуниципального значения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км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24,459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Pr="00E07E6A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24,459</w:t>
            </w:r>
          </w:p>
        </w:tc>
      </w:tr>
      <w:tr w:rsidR="00572B38" w:rsidRPr="00443EC6" w:rsidTr="00F35134">
        <w:trPr>
          <w:trHeight w:val="71"/>
        </w:trPr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A961ED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Доля протяженности автомобильных дорог общего пользования регионального или межмуниципального, местного значения на территории Волгоградской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32,4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Pr="00E07E6A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A961ED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5">
              <w:rPr>
                <w:rFonts w:eastAsiaTheme="minorHAnsi"/>
                <w:sz w:val="18"/>
                <w:szCs w:val="18"/>
                <w:lang w:eastAsia="en-US"/>
              </w:rPr>
              <w:t>Доля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в их общей протяженности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A961ED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Pr="00255E4B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EF5C2A" w:rsidRDefault="00572B38" w:rsidP="00F351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Доля дорожной сети Волгоградской городской агломерации, соответствующая нормативным требованиям к транспортно-эксплуатационному состоянию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CF66BB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E07E6A" w:rsidRDefault="00572B38" w:rsidP="00F3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Pr="00E07E6A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Доля дорожной сети Волжской городской агломерации, соответствующая нормативным требованиям к транспортно-эксплуатационному состоянию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EF5C2A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Количество мест концентрации дорожно-транспортных происшествий (аварийно-опасных участков) на дорожной сети Волгоградской области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EF5C2A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Default="00572B38" w:rsidP="00F3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86,9**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Доля автомобильных дорог регионального или межмуниципального значения, работающих в режиме перегрузки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EF5C2A" w:rsidRDefault="00572B38" w:rsidP="00F35134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 w:rsidRPr="00960326">
              <w:rPr>
                <w:sz w:val="18"/>
                <w:szCs w:val="18"/>
              </w:rPr>
              <w:t>0,39</w:t>
            </w:r>
          </w:p>
        </w:tc>
      </w:tr>
      <w:tr w:rsidR="00572B38" w:rsidRPr="00443EC6" w:rsidTr="00F35134"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Pr="00316BA8" w:rsidRDefault="00D94535" w:rsidP="00F35134">
            <w:pPr>
              <w:jc w:val="center"/>
              <w:rPr>
                <w:i/>
                <w:sz w:val="18"/>
              </w:rPr>
            </w:pPr>
            <w:hyperlink r:id="rId8" w:history="1">
              <w:r w:rsidR="00572B38" w:rsidRPr="00316BA8">
                <w:rPr>
                  <w:rFonts w:eastAsiaTheme="minorHAnsi"/>
                  <w:i/>
                  <w:sz w:val="18"/>
                  <w:szCs w:val="18"/>
                  <w:lang w:eastAsia="en-US"/>
                </w:rPr>
                <w:t>Подпрограмма</w:t>
              </w:r>
            </w:hyperlink>
            <w:r w:rsidR="00572B38">
              <w:rPr>
                <w:rFonts w:eastAsiaTheme="minorHAnsi"/>
                <w:i/>
                <w:sz w:val="18"/>
                <w:szCs w:val="18"/>
                <w:lang w:eastAsia="en-US"/>
              </w:rPr>
              <w:t>«</w:t>
            </w:r>
            <w:r w:rsidR="00572B38" w:rsidRPr="00316BA8">
              <w:rPr>
                <w:rFonts w:eastAsiaTheme="minorHAnsi"/>
                <w:i/>
                <w:sz w:val="18"/>
                <w:szCs w:val="18"/>
                <w:lang w:eastAsia="en-US"/>
              </w:rPr>
              <w:t>Повышение безопасности дорожного движения в Волгоградской области</w:t>
            </w:r>
            <w:r w:rsidR="00572B38">
              <w:rPr>
                <w:rFonts w:eastAsiaTheme="minorHAnsi"/>
                <w:i/>
                <w:sz w:val="18"/>
                <w:szCs w:val="18"/>
                <w:lang w:eastAsia="en-US"/>
              </w:rPr>
              <w:t>»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6B0727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>Число лиц, погибших в дорожно-транспортных происшествиях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r w:rsidRPr="00535C1B">
              <w:rPr>
                <w:rFonts w:eastAsiaTheme="minorHAnsi"/>
                <w:sz w:val="18"/>
                <w:szCs w:val="18"/>
                <w:lang w:eastAsia="en-US"/>
              </w:rPr>
              <w:t>ел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E07E6A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E07E6A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316BA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6B0727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</w:pPr>
            <w:r w:rsidRPr="00EF5C2A"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255E4B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10,9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Pr="00255E4B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11,37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6B0727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>Доля дорожно-транспортных происшествий, причиной которых является ненормативное состояние автомобильных дорог общего пользования регионального или межмуниципального, местного значения Волгоградской области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Pr="00CD29ED" w:rsidRDefault="00572B38" w:rsidP="00F3513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45,5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6B0727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>Доля грузовых транспортных средств, перевозящих грузы с превышением допустимых весовых и габаритных параметров без возмещения вреда, причиняемого автомобильным дорогам общего пользования регионального или межмуниципального, местного значения Волгоградской области, в общем объеме перевозок по автомобильным дорогам общего пользования регионального или межмуниципального, местного значения Волгоградской области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---***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Количество автоматических пунктов весогабаритного контроля транспортных средств, размещенных на автомобильных дорогах регионального или межмуниципального, местного значения</w:t>
            </w:r>
          </w:p>
          <w:p w:rsidR="00DA2F39" w:rsidRDefault="00DA2F39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A078C" w:rsidRPr="006B0727" w:rsidRDefault="000A078C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20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Pr="006B0727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Доля стационарных камер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фотовидеофиксации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относительно 2017 года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111,4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113,2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Доля контрактов на осуществление дорожной деятельности в рамках реализации регионального проекта "Программа дорожной деятельности Волгоградской области" (в целях реализации федерального проекта "Дорожная сеть" национального проекта "Безопасные и качественные автомобильные дороги"),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от общего количества новых государственных контрактов на выполнение работ по капитальному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ремонту, ремонту и содержанию автомобильных дорог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Доля контрактов на осуществление дорожной деятельности в рамках реализации регионального проекта "Программа дорожной деятельности Волгоградской области" (в целях реализации федерального проекта "Дорожная сеть" НП БКАД"),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 от общего количества новых государственных контрактов на выполнение работ по капитальному ремонту, ремонту и содержанию автомобильных дорог</w:t>
            </w:r>
            <w:proofErr w:type="gramEnd"/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13,64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B38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0521A">
              <w:rPr>
                <w:rFonts w:eastAsiaTheme="minorHAnsi"/>
                <w:sz w:val="18"/>
                <w:szCs w:val="18"/>
                <w:lang w:eastAsia="en-US"/>
              </w:rPr>
              <w:t>Повышение удельной пропускной способности перекрестков, оснащенных адаптивными светофорами, в часы "пиковых" нагрузок относительно 2019 года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---****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72B38" w:rsidRPr="006B0727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Степень использования функциональных возможностей интеллектуальных транспортных систем пользователями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B38" w:rsidRPr="00CD29ED" w:rsidRDefault="00572B38" w:rsidP="00F3513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83,3</w:t>
            </w:r>
          </w:p>
        </w:tc>
      </w:tr>
      <w:tr w:rsidR="00572B38" w:rsidRPr="00443EC6" w:rsidTr="00F35134">
        <w:tc>
          <w:tcPr>
            <w:tcW w:w="1" w:type="pct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2B38" w:rsidRPr="00BD4A41" w:rsidRDefault="00572B38" w:rsidP="00F35134">
            <w:pPr>
              <w:jc w:val="center"/>
              <w:rPr>
                <w:b/>
                <w:sz w:val="18"/>
              </w:rPr>
            </w:pPr>
            <w:r w:rsidRPr="00BD4A41">
              <w:rPr>
                <w:b/>
                <w:sz w:val="18"/>
              </w:rPr>
              <w:t>ГП «Энергосбережение»</w:t>
            </w:r>
          </w:p>
        </w:tc>
      </w:tr>
      <w:tr w:rsidR="00572B38" w:rsidRPr="00121D61" w:rsidTr="00F35134">
        <w:tc>
          <w:tcPr>
            <w:tcW w:w="227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121D61" w:rsidRDefault="00572B38" w:rsidP="00F35134">
            <w:pPr>
              <w:jc w:val="center"/>
              <w:rPr>
                <w:sz w:val="18"/>
                <w:szCs w:val="18"/>
              </w:rPr>
            </w:pPr>
            <w:r w:rsidRPr="00121D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72B38" w:rsidRPr="00121D61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1D61">
              <w:rPr>
                <w:iCs/>
                <w:sz w:val="18"/>
                <w:szCs w:val="18"/>
              </w:rPr>
              <w:t>Снижение энергоемкости перевозок общественного транспорта с регулируемыми тарифами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B38" w:rsidRPr="00121D61" w:rsidRDefault="00572B38" w:rsidP="00F35134">
            <w:pPr>
              <w:jc w:val="center"/>
              <w:rPr>
                <w:sz w:val="18"/>
                <w:szCs w:val="18"/>
              </w:rPr>
            </w:pPr>
            <w:proofErr w:type="spellStart"/>
            <w:r w:rsidRPr="00121D61">
              <w:rPr>
                <w:rFonts w:eastAsiaTheme="minorHAnsi"/>
                <w:iCs/>
                <w:sz w:val="18"/>
                <w:szCs w:val="18"/>
                <w:lang w:eastAsia="en-US"/>
              </w:rPr>
              <w:t>у.т</w:t>
            </w:r>
            <w:proofErr w:type="spellEnd"/>
            <w:r w:rsidRPr="00121D61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./тыс. </w:t>
            </w:r>
            <w:proofErr w:type="spellStart"/>
            <w:r w:rsidRPr="00121D61">
              <w:rPr>
                <w:rFonts w:eastAsiaTheme="minorHAnsi"/>
                <w:iCs/>
                <w:sz w:val="18"/>
                <w:szCs w:val="18"/>
                <w:lang w:eastAsia="en-US"/>
              </w:rPr>
              <w:t>пас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с</w:t>
            </w:r>
            <w:proofErr w:type="gramStart"/>
            <w:r w:rsidRPr="00121D61">
              <w:rPr>
                <w:rFonts w:eastAsiaTheme="minorHAnsi"/>
                <w:iCs/>
                <w:sz w:val="18"/>
                <w:szCs w:val="18"/>
                <w:lang w:eastAsia="en-US"/>
              </w:rPr>
              <w:t>.-</w:t>
            </w:r>
            <w:proofErr w:type="gramEnd"/>
            <w:r w:rsidRPr="00121D61">
              <w:rPr>
                <w:rFonts w:eastAsiaTheme="minorHAnsi"/>
                <w:iCs/>
                <w:sz w:val="18"/>
                <w:szCs w:val="18"/>
                <w:lang w:eastAsia="en-US"/>
              </w:rPr>
              <w:t>км</w:t>
            </w:r>
            <w:proofErr w:type="spell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Pr="00121D61" w:rsidRDefault="00572B38" w:rsidP="00F35134">
            <w:pPr>
              <w:jc w:val="center"/>
              <w:rPr>
                <w:sz w:val="18"/>
                <w:szCs w:val="18"/>
              </w:rPr>
            </w:pPr>
            <w:r w:rsidRPr="00121D61">
              <w:rPr>
                <w:sz w:val="18"/>
                <w:szCs w:val="18"/>
              </w:rPr>
              <w:t>22,75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2B38" w:rsidRPr="00121D61" w:rsidRDefault="00572B38" w:rsidP="00F35134">
            <w:pPr>
              <w:jc w:val="center"/>
              <w:rPr>
                <w:sz w:val="18"/>
                <w:szCs w:val="18"/>
              </w:rPr>
            </w:pPr>
            <w:r w:rsidRPr="00121D61">
              <w:rPr>
                <w:sz w:val="18"/>
                <w:szCs w:val="18"/>
              </w:rPr>
              <w:t>20,67</w:t>
            </w:r>
          </w:p>
        </w:tc>
      </w:tr>
      <w:tr w:rsidR="00572B38" w:rsidRPr="00443EC6" w:rsidTr="00F35134">
        <w:tc>
          <w:tcPr>
            <w:tcW w:w="1" w:type="pct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2B38" w:rsidRPr="00BD4A41" w:rsidRDefault="00572B38" w:rsidP="00F35134">
            <w:pPr>
              <w:jc w:val="center"/>
              <w:rPr>
                <w:b/>
                <w:sz w:val="18"/>
              </w:rPr>
            </w:pPr>
            <w:r w:rsidRPr="00BD4A41">
              <w:rPr>
                <w:rFonts w:eastAsiaTheme="minorHAnsi"/>
                <w:b/>
                <w:sz w:val="18"/>
                <w:szCs w:val="18"/>
                <w:lang w:eastAsia="en-US"/>
              </w:rPr>
              <w:t>ГП «Село»</w:t>
            </w:r>
          </w:p>
        </w:tc>
      </w:tr>
      <w:tr w:rsidR="00572B38" w:rsidRPr="00443EC6" w:rsidTr="00F35134">
        <w:tc>
          <w:tcPr>
            <w:tcW w:w="227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31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72B38" w:rsidRPr="00121D61" w:rsidRDefault="00572B38" w:rsidP="00F3513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1D61">
              <w:rPr>
                <w:sz w:val="18"/>
                <w:szCs w:val="18"/>
              </w:rPr>
              <w:t xml:space="preserve">Ввод в эксплуатацию автомобильных дорог общего пользования 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2B38" w:rsidRDefault="00572B38" w:rsidP="00F3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10,133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72B38" w:rsidRDefault="00572B38" w:rsidP="00F351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9,386</w:t>
            </w:r>
          </w:p>
        </w:tc>
      </w:tr>
      <w:tr w:rsidR="00572B38" w:rsidRPr="00443EC6" w:rsidTr="00F3513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38" w:rsidRPr="00923FDB" w:rsidRDefault="00572B38" w:rsidP="00F35134">
            <w:pPr>
              <w:ind w:left="284" w:hanging="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*-</w:t>
            </w:r>
            <w:r w:rsidRPr="00A82A46">
              <w:rPr>
                <w:i/>
                <w:sz w:val="18"/>
                <w:szCs w:val="18"/>
              </w:rPr>
              <w:t xml:space="preserve">в </w:t>
            </w:r>
            <w:r>
              <w:rPr>
                <w:i/>
                <w:sz w:val="18"/>
                <w:szCs w:val="18"/>
              </w:rPr>
              <w:t>п</w:t>
            </w:r>
            <w:r w:rsidRPr="00A82A46">
              <w:rPr>
                <w:i/>
                <w:sz w:val="18"/>
                <w:szCs w:val="18"/>
              </w:rPr>
              <w:t>рограмме допущена техническая ошибка, планируемое значение составляет 0,1 млн.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2A46">
              <w:rPr>
                <w:i/>
                <w:sz w:val="18"/>
                <w:szCs w:val="18"/>
              </w:rPr>
              <w:t>место-километров</w:t>
            </w:r>
            <w:proofErr w:type="spellEnd"/>
            <w:proofErr w:type="gramEnd"/>
          </w:p>
        </w:tc>
      </w:tr>
      <w:tr w:rsidR="00572B38" w:rsidRPr="00443EC6" w:rsidTr="00F3513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38" w:rsidRPr="00923FDB" w:rsidRDefault="00572B38" w:rsidP="00F351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923FDB">
              <w:rPr>
                <w:i/>
                <w:sz w:val="18"/>
                <w:szCs w:val="18"/>
              </w:rPr>
              <w:t>*- фактическое значение показателя 106,6% (65 мест концентрации ДТП в 2019/ 61 мест</w:t>
            </w:r>
            <w:r>
              <w:rPr>
                <w:i/>
                <w:sz w:val="18"/>
                <w:szCs w:val="18"/>
              </w:rPr>
              <w:t>о</w:t>
            </w:r>
            <w:r w:rsidRPr="00923FDB">
              <w:rPr>
                <w:i/>
                <w:sz w:val="18"/>
                <w:szCs w:val="18"/>
              </w:rPr>
              <w:t xml:space="preserve"> концентрации ДТП в 2017)</w:t>
            </w:r>
          </w:p>
        </w:tc>
      </w:tr>
      <w:tr w:rsidR="00572B38" w:rsidRPr="00443EC6" w:rsidTr="00F3513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38" w:rsidRPr="00923FDB" w:rsidRDefault="00572B38" w:rsidP="00F35134">
            <w:pPr>
              <w:ind w:left="284" w:hanging="284"/>
              <w:rPr>
                <w:i/>
                <w:sz w:val="18"/>
                <w:szCs w:val="18"/>
              </w:rPr>
            </w:pPr>
            <w:r w:rsidRPr="00923FDB">
              <w:rPr>
                <w:i/>
                <w:sz w:val="18"/>
                <w:szCs w:val="18"/>
              </w:rPr>
              <w:t>**</w:t>
            </w:r>
            <w:r>
              <w:rPr>
                <w:i/>
                <w:sz w:val="18"/>
                <w:szCs w:val="18"/>
              </w:rPr>
              <w:t>*</w:t>
            </w:r>
            <w:r w:rsidRPr="00923FDB">
              <w:rPr>
                <w:i/>
                <w:sz w:val="18"/>
                <w:szCs w:val="18"/>
              </w:rPr>
              <w:t>- определить значение показателя невозможно в связи с</w:t>
            </w:r>
            <w:r>
              <w:rPr>
                <w:i/>
                <w:sz w:val="18"/>
                <w:szCs w:val="18"/>
              </w:rPr>
              <w:t xml:space="preserve"> отсутствием инструмента оценки – не </w:t>
            </w:r>
            <w:proofErr w:type="gramStart"/>
            <w:r>
              <w:rPr>
                <w:i/>
                <w:sz w:val="18"/>
                <w:szCs w:val="18"/>
              </w:rPr>
              <w:t>построена</w:t>
            </w:r>
            <w:proofErr w:type="gramEnd"/>
            <w:r>
              <w:rPr>
                <w:i/>
                <w:sz w:val="18"/>
                <w:szCs w:val="18"/>
              </w:rPr>
              <w:t xml:space="preserve"> АСВГК</w:t>
            </w:r>
          </w:p>
        </w:tc>
      </w:tr>
      <w:tr w:rsidR="00572B38" w:rsidRPr="00443EC6" w:rsidTr="00F3513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B38" w:rsidRPr="00923FDB" w:rsidRDefault="00572B38" w:rsidP="00F35134">
            <w:pPr>
              <w:rPr>
                <w:i/>
                <w:sz w:val="18"/>
                <w:szCs w:val="18"/>
              </w:rPr>
            </w:pPr>
            <w:r w:rsidRPr="00923FDB">
              <w:rPr>
                <w:i/>
                <w:sz w:val="18"/>
                <w:szCs w:val="18"/>
              </w:rPr>
              <w:t>***</w:t>
            </w:r>
            <w:r>
              <w:rPr>
                <w:i/>
                <w:sz w:val="18"/>
                <w:szCs w:val="18"/>
              </w:rPr>
              <w:t>*</w:t>
            </w:r>
            <w:r w:rsidRPr="00923FDB">
              <w:rPr>
                <w:i/>
                <w:sz w:val="18"/>
                <w:szCs w:val="18"/>
              </w:rPr>
              <w:t xml:space="preserve"> - показатель на 2019 является базовым </w:t>
            </w:r>
          </w:p>
        </w:tc>
      </w:tr>
    </w:tbl>
    <w:p w:rsidR="00572B38" w:rsidRDefault="00572B38"/>
    <w:p w:rsidR="00814F21" w:rsidRDefault="00814F21"/>
    <w:p w:rsidR="00814F21" w:rsidRDefault="00814F21"/>
    <w:p w:rsidR="00814F21" w:rsidRDefault="00814F21">
      <w:r>
        <w:t xml:space="preserve">Ведущий инспектор </w:t>
      </w:r>
      <w:r>
        <w:tab/>
      </w:r>
      <w:r>
        <w:tab/>
      </w:r>
      <w:r>
        <w:tab/>
      </w:r>
      <w:r>
        <w:tab/>
      </w:r>
      <w:r w:rsidR="00792DAE">
        <w:tab/>
      </w:r>
      <w:r>
        <w:tab/>
      </w:r>
      <w:r>
        <w:tab/>
        <w:t>В.В. Черниченко</w:t>
      </w:r>
    </w:p>
    <w:sectPr w:rsidR="00814F21" w:rsidSect="000A078C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3C" w:rsidRDefault="00E3713C" w:rsidP="0007601B">
      <w:r>
        <w:separator/>
      </w:r>
    </w:p>
  </w:endnote>
  <w:endnote w:type="continuationSeparator" w:id="1">
    <w:p w:rsidR="00E3713C" w:rsidRDefault="00E3713C" w:rsidP="0007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3C" w:rsidRDefault="00E3713C" w:rsidP="0007601B">
      <w:r>
        <w:separator/>
      </w:r>
    </w:p>
  </w:footnote>
  <w:footnote w:type="continuationSeparator" w:id="1">
    <w:p w:rsidR="00E3713C" w:rsidRDefault="00E3713C" w:rsidP="00076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594"/>
      <w:docPartObj>
        <w:docPartGallery w:val="Page Numbers (Top of Page)"/>
        <w:docPartUnique/>
      </w:docPartObj>
    </w:sdtPr>
    <w:sdtContent>
      <w:p w:rsidR="00E3713C" w:rsidRDefault="00E3713C">
        <w:pPr>
          <w:pStyle w:val="a5"/>
          <w:jc w:val="center"/>
        </w:pPr>
        <w:fldSimple w:instr=" PAGE   \* MERGEFORMAT ">
          <w:r w:rsidR="00E918D0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D46"/>
    <w:multiLevelType w:val="hybridMultilevel"/>
    <w:tmpl w:val="3CD0423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9305E"/>
    <w:multiLevelType w:val="hybridMultilevel"/>
    <w:tmpl w:val="08643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246695"/>
    <w:multiLevelType w:val="hybridMultilevel"/>
    <w:tmpl w:val="02E6AE54"/>
    <w:lvl w:ilvl="0" w:tplc="AD3C7D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25E3465"/>
    <w:multiLevelType w:val="hybridMultilevel"/>
    <w:tmpl w:val="D244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64EE"/>
    <w:multiLevelType w:val="hybridMultilevel"/>
    <w:tmpl w:val="7A768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FC2823"/>
    <w:multiLevelType w:val="hybridMultilevel"/>
    <w:tmpl w:val="79A2AF12"/>
    <w:lvl w:ilvl="0" w:tplc="2C80A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700650"/>
    <w:multiLevelType w:val="hybridMultilevel"/>
    <w:tmpl w:val="D6724BC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D46D7B"/>
    <w:multiLevelType w:val="hybridMultilevel"/>
    <w:tmpl w:val="1DD25114"/>
    <w:lvl w:ilvl="0" w:tplc="105AA0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12418"/>
    <w:multiLevelType w:val="hybridMultilevel"/>
    <w:tmpl w:val="39E8EA60"/>
    <w:lvl w:ilvl="0" w:tplc="64EC32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B7534F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B05288B"/>
    <w:multiLevelType w:val="hybridMultilevel"/>
    <w:tmpl w:val="31F2780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6A6C0326"/>
    <w:multiLevelType w:val="hybridMultilevel"/>
    <w:tmpl w:val="E91C8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373476"/>
    <w:multiLevelType w:val="hybridMultilevel"/>
    <w:tmpl w:val="976E0000"/>
    <w:lvl w:ilvl="0" w:tplc="2028031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4C18B1"/>
    <w:multiLevelType w:val="hybridMultilevel"/>
    <w:tmpl w:val="14E4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D491C"/>
    <w:multiLevelType w:val="multilevel"/>
    <w:tmpl w:val="2C54E53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</w:rPr>
    </w:lvl>
  </w:abstractNum>
  <w:abstractNum w:abstractNumId="17">
    <w:nsid w:val="741E7172"/>
    <w:multiLevelType w:val="hybridMultilevel"/>
    <w:tmpl w:val="001EC1FC"/>
    <w:lvl w:ilvl="0" w:tplc="970AD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686D4D"/>
    <w:multiLevelType w:val="hybridMultilevel"/>
    <w:tmpl w:val="74EE6088"/>
    <w:lvl w:ilvl="0" w:tplc="E1088B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17"/>
  </w:num>
  <w:num w:numId="8">
    <w:abstractNumId w:val="6"/>
  </w:num>
  <w:num w:numId="9">
    <w:abstractNumId w:val="4"/>
  </w:num>
  <w:num w:numId="10">
    <w:abstractNumId w:val="11"/>
  </w:num>
  <w:num w:numId="11">
    <w:abstractNumId w:val="15"/>
  </w:num>
  <w:num w:numId="12">
    <w:abstractNumId w:val="0"/>
  </w:num>
  <w:num w:numId="13">
    <w:abstractNumId w:val="5"/>
  </w:num>
  <w:num w:numId="14">
    <w:abstractNumId w:val="7"/>
  </w:num>
  <w:num w:numId="15">
    <w:abstractNumId w:val="14"/>
  </w:num>
  <w:num w:numId="16">
    <w:abstractNumId w:val="8"/>
  </w:num>
  <w:num w:numId="17">
    <w:abstractNumId w:val="10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041"/>
    <w:rsid w:val="00005188"/>
    <w:rsid w:val="00005B81"/>
    <w:rsid w:val="0001005A"/>
    <w:rsid w:val="000100FF"/>
    <w:rsid w:val="00011609"/>
    <w:rsid w:val="00013E78"/>
    <w:rsid w:val="00016467"/>
    <w:rsid w:val="0001710B"/>
    <w:rsid w:val="00023F48"/>
    <w:rsid w:val="00030B61"/>
    <w:rsid w:val="00035342"/>
    <w:rsid w:val="000354B5"/>
    <w:rsid w:val="000354E3"/>
    <w:rsid w:val="00037314"/>
    <w:rsid w:val="000411BF"/>
    <w:rsid w:val="00047E58"/>
    <w:rsid w:val="00055F0C"/>
    <w:rsid w:val="00056A94"/>
    <w:rsid w:val="00066943"/>
    <w:rsid w:val="000709FC"/>
    <w:rsid w:val="0007447C"/>
    <w:rsid w:val="0007601B"/>
    <w:rsid w:val="00076DBE"/>
    <w:rsid w:val="00081DC2"/>
    <w:rsid w:val="00082F95"/>
    <w:rsid w:val="00086623"/>
    <w:rsid w:val="000879B6"/>
    <w:rsid w:val="0009518F"/>
    <w:rsid w:val="000A078C"/>
    <w:rsid w:val="000A210C"/>
    <w:rsid w:val="000B0671"/>
    <w:rsid w:val="000B2674"/>
    <w:rsid w:val="000B4A3B"/>
    <w:rsid w:val="000B56EC"/>
    <w:rsid w:val="000C102E"/>
    <w:rsid w:val="000C2754"/>
    <w:rsid w:val="000C3EA9"/>
    <w:rsid w:val="000D0E38"/>
    <w:rsid w:val="000D41C4"/>
    <w:rsid w:val="000D5047"/>
    <w:rsid w:val="000D526D"/>
    <w:rsid w:val="000D6AEF"/>
    <w:rsid w:val="000D6FBA"/>
    <w:rsid w:val="000D7415"/>
    <w:rsid w:val="000E117D"/>
    <w:rsid w:val="000E26C8"/>
    <w:rsid w:val="000E4F60"/>
    <w:rsid w:val="000E57DB"/>
    <w:rsid w:val="000E7E74"/>
    <w:rsid w:val="000F1BA3"/>
    <w:rsid w:val="000F20BB"/>
    <w:rsid w:val="000F49AD"/>
    <w:rsid w:val="00102063"/>
    <w:rsid w:val="00104044"/>
    <w:rsid w:val="00104B73"/>
    <w:rsid w:val="00105DA9"/>
    <w:rsid w:val="001074DE"/>
    <w:rsid w:val="001109A2"/>
    <w:rsid w:val="001114CA"/>
    <w:rsid w:val="001116B6"/>
    <w:rsid w:val="001116CD"/>
    <w:rsid w:val="0011468C"/>
    <w:rsid w:val="00115B00"/>
    <w:rsid w:val="00121D61"/>
    <w:rsid w:val="00122AFE"/>
    <w:rsid w:val="001253A2"/>
    <w:rsid w:val="001267CF"/>
    <w:rsid w:val="00132B5F"/>
    <w:rsid w:val="0013760E"/>
    <w:rsid w:val="001402EA"/>
    <w:rsid w:val="001428CD"/>
    <w:rsid w:val="00154506"/>
    <w:rsid w:val="00155540"/>
    <w:rsid w:val="00155A98"/>
    <w:rsid w:val="00162CD1"/>
    <w:rsid w:val="001706D9"/>
    <w:rsid w:val="00172D79"/>
    <w:rsid w:val="00173D34"/>
    <w:rsid w:val="00175F7E"/>
    <w:rsid w:val="001764B0"/>
    <w:rsid w:val="00176F28"/>
    <w:rsid w:val="00180CA7"/>
    <w:rsid w:val="00182CB5"/>
    <w:rsid w:val="00183DD7"/>
    <w:rsid w:val="00183E5A"/>
    <w:rsid w:val="001853C4"/>
    <w:rsid w:val="001877E1"/>
    <w:rsid w:val="00187ABA"/>
    <w:rsid w:val="00197E4E"/>
    <w:rsid w:val="001A4694"/>
    <w:rsid w:val="001A64F8"/>
    <w:rsid w:val="001A76B8"/>
    <w:rsid w:val="001B05B5"/>
    <w:rsid w:val="001B1AFD"/>
    <w:rsid w:val="001C2337"/>
    <w:rsid w:val="001C4B9A"/>
    <w:rsid w:val="001C5BFA"/>
    <w:rsid w:val="001C6C58"/>
    <w:rsid w:val="001C7575"/>
    <w:rsid w:val="001C77FF"/>
    <w:rsid w:val="001C7B75"/>
    <w:rsid w:val="001C7FF5"/>
    <w:rsid w:val="001D0FE0"/>
    <w:rsid w:val="001E3B9C"/>
    <w:rsid w:val="001F2C1B"/>
    <w:rsid w:val="002000BB"/>
    <w:rsid w:val="002115C2"/>
    <w:rsid w:val="00215215"/>
    <w:rsid w:val="00215447"/>
    <w:rsid w:val="00217BF8"/>
    <w:rsid w:val="00217ECC"/>
    <w:rsid w:val="00221C20"/>
    <w:rsid w:val="0022731E"/>
    <w:rsid w:val="00234518"/>
    <w:rsid w:val="00242EE6"/>
    <w:rsid w:val="00245296"/>
    <w:rsid w:val="002468AE"/>
    <w:rsid w:val="00250DC3"/>
    <w:rsid w:val="00252243"/>
    <w:rsid w:val="00253A76"/>
    <w:rsid w:val="00255B8D"/>
    <w:rsid w:val="00261719"/>
    <w:rsid w:val="00261F16"/>
    <w:rsid w:val="00262473"/>
    <w:rsid w:val="002639C0"/>
    <w:rsid w:val="002649E5"/>
    <w:rsid w:val="0027155E"/>
    <w:rsid w:val="0027250B"/>
    <w:rsid w:val="00273D8F"/>
    <w:rsid w:val="00287B31"/>
    <w:rsid w:val="0029007D"/>
    <w:rsid w:val="0029257B"/>
    <w:rsid w:val="002A01D1"/>
    <w:rsid w:val="002A0BD8"/>
    <w:rsid w:val="002A195B"/>
    <w:rsid w:val="002A6D1C"/>
    <w:rsid w:val="002B1951"/>
    <w:rsid w:val="002B2646"/>
    <w:rsid w:val="002B6783"/>
    <w:rsid w:val="002B79AF"/>
    <w:rsid w:val="002C0004"/>
    <w:rsid w:val="002C14D7"/>
    <w:rsid w:val="002C1BB2"/>
    <w:rsid w:val="002C28D7"/>
    <w:rsid w:val="002C55B0"/>
    <w:rsid w:val="002D0273"/>
    <w:rsid w:val="002D29F3"/>
    <w:rsid w:val="002D2B31"/>
    <w:rsid w:val="002D312E"/>
    <w:rsid w:val="002D484B"/>
    <w:rsid w:val="002D5EF8"/>
    <w:rsid w:val="002D696E"/>
    <w:rsid w:val="002D7BA1"/>
    <w:rsid w:val="002E209E"/>
    <w:rsid w:val="002E3878"/>
    <w:rsid w:val="002E7CDD"/>
    <w:rsid w:val="002F0ADA"/>
    <w:rsid w:val="002F1785"/>
    <w:rsid w:val="002F3335"/>
    <w:rsid w:val="002F7CFF"/>
    <w:rsid w:val="00300FF2"/>
    <w:rsid w:val="00301044"/>
    <w:rsid w:val="00303FD5"/>
    <w:rsid w:val="0030557E"/>
    <w:rsid w:val="003117CA"/>
    <w:rsid w:val="003159FC"/>
    <w:rsid w:val="00317A87"/>
    <w:rsid w:val="00321C48"/>
    <w:rsid w:val="0032310F"/>
    <w:rsid w:val="00326D19"/>
    <w:rsid w:val="00327DA4"/>
    <w:rsid w:val="00330316"/>
    <w:rsid w:val="00330659"/>
    <w:rsid w:val="0033219F"/>
    <w:rsid w:val="00332A18"/>
    <w:rsid w:val="0033442B"/>
    <w:rsid w:val="003347B2"/>
    <w:rsid w:val="00334E25"/>
    <w:rsid w:val="00336562"/>
    <w:rsid w:val="00337811"/>
    <w:rsid w:val="00340D01"/>
    <w:rsid w:val="003428F8"/>
    <w:rsid w:val="00343469"/>
    <w:rsid w:val="00344D91"/>
    <w:rsid w:val="00350710"/>
    <w:rsid w:val="00350D65"/>
    <w:rsid w:val="003517EC"/>
    <w:rsid w:val="00352A99"/>
    <w:rsid w:val="00353D69"/>
    <w:rsid w:val="003575F5"/>
    <w:rsid w:val="00364A26"/>
    <w:rsid w:val="00365554"/>
    <w:rsid w:val="00367ADB"/>
    <w:rsid w:val="0037599D"/>
    <w:rsid w:val="00375C86"/>
    <w:rsid w:val="00380BF9"/>
    <w:rsid w:val="003813D7"/>
    <w:rsid w:val="00381D82"/>
    <w:rsid w:val="00383C11"/>
    <w:rsid w:val="00383E01"/>
    <w:rsid w:val="00385876"/>
    <w:rsid w:val="00386A44"/>
    <w:rsid w:val="00395780"/>
    <w:rsid w:val="00396C80"/>
    <w:rsid w:val="003A0BBE"/>
    <w:rsid w:val="003A28AE"/>
    <w:rsid w:val="003A4107"/>
    <w:rsid w:val="003A5F56"/>
    <w:rsid w:val="003B0982"/>
    <w:rsid w:val="003B0ACB"/>
    <w:rsid w:val="003B4626"/>
    <w:rsid w:val="003B46BF"/>
    <w:rsid w:val="003B50AD"/>
    <w:rsid w:val="003B7107"/>
    <w:rsid w:val="003C4539"/>
    <w:rsid w:val="003C6F2A"/>
    <w:rsid w:val="003C7998"/>
    <w:rsid w:val="003D23A4"/>
    <w:rsid w:val="003D3C47"/>
    <w:rsid w:val="003D4503"/>
    <w:rsid w:val="003D452B"/>
    <w:rsid w:val="003E3057"/>
    <w:rsid w:val="003E4121"/>
    <w:rsid w:val="003F35C0"/>
    <w:rsid w:val="004005D5"/>
    <w:rsid w:val="004010B9"/>
    <w:rsid w:val="004012DF"/>
    <w:rsid w:val="0040404E"/>
    <w:rsid w:val="00404226"/>
    <w:rsid w:val="00407508"/>
    <w:rsid w:val="00413B4B"/>
    <w:rsid w:val="0042053C"/>
    <w:rsid w:val="00422749"/>
    <w:rsid w:val="004229BA"/>
    <w:rsid w:val="0042689C"/>
    <w:rsid w:val="004276BA"/>
    <w:rsid w:val="00431FD5"/>
    <w:rsid w:val="00434907"/>
    <w:rsid w:val="00434A97"/>
    <w:rsid w:val="00436553"/>
    <w:rsid w:val="00440A28"/>
    <w:rsid w:val="0044222B"/>
    <w:rsid w:val="0044366A"/>
    <w:rsid w:val="00444120"/>
    <w:rsid w:val="004449AF"/>
    <w:rsid w:val="004462F5"/>
    <w:rsid w:val="00447686"/>
    <w:rsid w:val="00450976"/>
    <w:rsid w:val="00454C65"/>
    <w:rsid w:val="00456623"/>
    <w:rsid w:val="00457659"/>
    <w:rsid w:val="00460D87"/>
    <w:rsid w:val="00462F28"/>
    <w:rsid w:val="004646E9"/>
    <w:rsid w:val="0046657E"/>
    <w:rsid w:val="00474AD2"/>
    <w:rsid w:val="00476FBA"/>
    <w:rsid w:val="0048030F"/>
    <w:rsid w:val="004819BE"/>
    <w:rsid w:val="00482CB0"/>
    <w:rsid w:val="0048339E"/>
    <w:rsid w:val="0048366A"/>
    <w:rsid w:val="00485BC3"/>
    <w:rsid w:val="00486BA0"/>
    <w:rsid w:val="004878C7"/>
    <w:rsid w:val="0049562F"/>
    <w:rsid w:val="00495C88"/>
    <w:rsid w:val="004A14BB"/>
    <w:rsid w:val="004A2CB2"/>
    <w:rsid w:val="004A33AD"/>
    <w:rsid w:val="004A5F0B"/>
    <w:rsid w:val="004A66C2"/>
    <w:rsid w:val="004A66D8"/>
    <w:rsid w:val="004B1923"/>
    <w:rsid w:val="004B247A"/>
    <w:rsid w:val="004B2F42"/>
    <w:rsid w:val="004B3464"/>
    <w:rsid w:val="004B435F"/>
    <w:rsid w:val="004C2FE0"/>
    <w:rsid w:val="004C57D5"/>
    <w:rsid w:val="004C7E6C"/>
    <w:rsid w:val="004D26F9"/>
    <w:rsid w:val="004D3276"/>
    <w:rsid w:val="004D3C30"/>
    <w:rsid w:val="004E17CA"/>
    <w:rsid w:val="004E3304"/>
    <w:rsid w:val="004E3387"/>
    <w:rsid w:val="004E47A7"/>
    <w:rsid w:val="004E769A"/>
    <w:rsid w:val="004F2F76"/>
    <w:rsid w:val="004F55FB"/>
    <w:rsid w:val="004F76B8"/>
    <w:rsid w:val="004F79E9"/>
    <w:rsid w:val="00500F8B"/>
    <w:rsid w:val="00501FDB"/>
    <w:rsid w:val="005030CB"/>
    <w:rsid w:val="00503D26"/>
    <w:rsid w:val="005059A4"/>
    <w:rsid w:val="00511346"/>
    <w:rsid w:val="00516F6C"/>
    <w:rsid w:val="0052262A"/>
    <w:rsid w:val="005242D3"/>
    <w:rsid w:val="005256AB"/>
    <w:rsid w:val="0052709D"/>
    <w:rsid w:val="00536381"/>
    <w:rsid w:val="005373A5"/>
    <w:rsid w:val="005417FB"/>
    <w:rsid w:val="00552E6B"/>
    <w:rsid w:val="00553211"/>
    <w:rsid w:val="00555391"/>
    <w:rsid w:val="00555ABE"/>
    <w:rsid w:val="00556116"/>
    <w:rsid w:val="005605A1"/>
    <w:rsid w:val="0056216E"/>
    <w:rsid w:val="00564092"/>
    <w:rsid w:val="00564915"/>
    <w:rsid w:val="0056777F"/>
    <w:rsid w:val="00572B38"/>
    <w:rsid w:val="005740A6"/>
    <w:rsid w:val="005767EE"/>
    <w:rsid w:val="00577F03"/>
    <w:rsid w:val="00584558"/>
    <w:rsid w:val="00590D67"/>
    <w:rsid w:val="00591500"/>
    <w:rsid w:val="00593182"/>
    <w:rsid w:val="00593D39"/>
    <w:rsid w:val="00596344"/>
    <w:rsid w:val="0059747B"/>
    <w:rsid w:val="005975CB"/>
    <w:rsid w:val="005A455A"/>
    <w:rsid w:val="005A4E34"/>
    <w:rsid w:val="005A7188"/>
    <w:rsid w:val="005B1E73"/>
    <w:rsid w:val="005B2098"/>
    <w:rsid w:val="005B3A09"/>
    <w:rsid w:val="005B52DF"/>
    <w:rsid w:val="005B7C3A"/>
    <w:rsid w:val="005C4AD6"/>
    <w:rsid w:val="005C5E9A"/>
    <w:rsid w:val="005C7E8F"/>
    <w:rsid w:val="005D09F8"/>
    <w:rsid w:val="005D3DF4"/>
    <w:rsid w:val="005D575C"/>
    <w:rsid w:val="005D5C86"/>
    <w:rsid w:val="005E309B"/>
    <w:rsid w:val="005E309D"/>
    <w:rsid w:val="005E5846"/>
    <w:rsid w:val="005E5B19"/>
    <w:rsid w:val="005F0077"/>
    <w:rsid w:val="005F06BC"/>
    <w:rsid w:val="005F2032"/>
    <w:rsid w:val="005F372F"/>
    <w:rsid w:val="005F4EC9"/>
    <w:rsid w:val="005F7C5A"/>
    <w:rsid w:val="006025FB"/>
    <w:rsid w:val="0060411D"/>
    <w:rsid w:val="00605957"/>
    <w:rsid w:val="00612623"/>
    <w:rsid w:val="00612849"/>
    <w:rsid w:val="00612A0C"/>
    <w:rsid w:val="00613546"/>
    <w:rsid w:val="00615023"/>
    <w:rsid w:val="006152F1"/>
    <w:rsid w:val="0061692C"/>
    <w:rsid w:val="00621B6D"/>
    <w:rsid w:val="00623321"/>
    <w:rsid w:val="00624804"/>
    <w:rsid w:val="0062577D"/>
    <w:rsid w:val="006304FA"/>
    <w:rsid w:val="00630897"/>
    <w:rsid w:val="006327C7"/>
    <w:rsid w:val="00634991"/>
    <w:rsid w:val="006373AA"/>
    <w:rsid w:val="00640F32"/>
    <w:rsid w:val="00641BFC"/>
    <w:rsid w:val="00646C0F"/>
    <w:rsid w:val="00647400"/>
    <w:rsid w:val="00657499"/>
    <w:rsid w:val="006624D0"/>
    <w:rsid w:val="00670894"/>
    <w:rsid w:val="00670D9F"/>
    <w:rsid w:val="0067210D"/>
    <w:rsid w:val="006723B6"/>
    <w:rsid w:val="0067290E"/>
    <w:rsid w:val="00673AC1"/>
    <w:rsid w:val="00674965"/>
    <w:rsid w:val="00674B61"/>
    <w:rsid w:val="00674E4C"/>
    <w:rsid w:val="006855C1"/>
    <w:rsid w:val="00686903"/>
    <w:rsid w:val="00691810"/>
    <w:rsid w:val="00692CE5"/>
    <w:rsid w:val="0069689A"/>
    <w:rsid w:val="006A1F56"/>
    <w:rsid w:val="006B0727"/>
    <w:rsid w:val="006B1811"/>
    <w:rsid w:val="006B56C8"/>
    <w:rsid w:val="006B5B49"/>
    <w:rsid w:val="006B6A44"/>
    <w:rsid w:val="006C0AD4"/>
    <w:rsid w:val="006C35FC"/>
    <w:rsid w:val="006C3B79"/>
    <w:rsid w:val="006C42F7"/>
    <w:rsid w:val="006C5C85"/>
    <w:rsid w:val="006C5CEC"/>
    <w:rsid w:val="006C647F"/>
    <w:rsid w:val="006D0B23"/>
    <w:rsid w:val="006D402B"/>
    <w:rsid w:val="006D5C7A"/>
    <w:rsid w:val="006E08BD"/>
    <w:rsid w:val="006E126F"/>
    <w:rsid w:val="006E2565"/>
    <w:rsid w:val="006E292B"/>
    <w:rsid w:val="006E4B0D"/>
    <w:rsid w:val="006E50BD"/>
    <w:rsid w:val="006F160D"/>
    <w:rsid w:val="006F1F0B"/>
    <w:rsid w:val="0070022A"/>
    <w:rsid w:val="00700BF6"/>
    <w:rsid w:val="00702DB3"/>
    <w:rsid w:val="007042DD"/>
    <w:rsid w:val="007150B5"/>
    <w:rsid w:val="00715653"/>
    <w:rsid w:val="00715F3E"/>
    <w:rsid w:val="007209BB"/>
    <w:rsid w:val="0072204C"/>
    <w:rsid w:val="007304D8"/>
    <w:rsid w:val="007327F7"/>
    <w:rsid w:val="00734600"/>
    <w:rsid w:val="00735042"/>
    <w:rsid w:val="00741046"/>
    <w:rsid w:val="0074191F"/>
    <w:rsid w:val="00744F74"/>
    <w:rsid w:val="00745D3B"/>
    <w:rsid w:val="007569A0"/>
    <w:rsid w:val="00761BD0"/>
    <w:rsid w:val="007631A3"/>
    <w:rsid w:val="00765E53"/>
    <w:rsid w:val="007718A0"/>
    <w:rsid w:val="007718E9"/>
    <w:rsid w:val="00771973"/>
    <w:rsid w:val="007725F8"/>
    <w:rsid w:val="00774D97"/>
    <w:rsid w:val="007842C3"/>
    <w:rsid w:val="00785C1E"/>
    <w:rsid w:val="007910CE"/>
    <w:rsid w:val="00792DAE"/>
    <w:rsid w:val="0079470A"/>
    <w:rsid w:val="007948CF"/>
    <w:rsid w:val="00795289"/>
    <w:rsid w:val="00795B3E"/>
    <w:rsid w:val="00796991"/>
    <w:rsid w:val="00797180"/>
    <w:rsid w:val="007971C5"/>
    <w:rsid w:val="007A10A5"/>
    <w:rsid w:val="007A18A3"/>
    <w:rsid w:val="007A5F78"/>
    <w:rsid w:val="007A6687"/>
    <w:rsid w:val="007B1C4D"/>
    <w:rsid w:val="007B33E6"/>
    <w:rsid w:val="007B3909"/>
    <w:rsid w:val="007B45D0"/>
    <w:rsid w:val="007B4ACC"/>
    <w:rsid w:val="007B4F6E"/>
    <w:rsid w:val="007B678F"/>
    <w:rsid w:val="007C047C"/>
    <w:rsid w:val="007C139F"/>
    <w:rsid w:val="007C5190"/>
    <w:rsid w:val="007C6654"/>
    <w:rsid w:val="007C6B9D"/>
    <w:rsid w:val="007D2369"/>
    <w:rsid w:val="007D2C4B"/>
    <w:rsid w:val="007D2CEA"/>
    <w:rsid w:val="007D2FB4"/>
    <w:rsid w:val="007D54DD"/>
    <w:rsid w:val="007D7D0A"/>
    <w:rsid w:val="007E164A"/>
    <w:rsid w:val="007E79D1"/>
    <w:rsid w:val="007F5D8B"/>
    <w:rsid w:val="008010FD"/>
    <w:rsid w:val="00801493"/>
    <w:rsid w:val="008050BC"/>
    <w:rsid w:val="00806E4E"/>
    <w:rsid w:val="008127B7"/>
    <w:rsid w:val="00812DB0"/>
    <w:rsid w:val="00814F21"/>
    <w:rsid w:val="008162ED"/>
    <w:rsid w:val="00817C86"/>
    <w:rsid w:val="00822575"/>
    <w:rsid w:val="00824DD6"/>
    <w:rsid w:val="00825496"/>
    <w:rsid w:val="00825D6F"/>
    <w:rsid w:val="00825EDE"/>
    <w:rsid w:val="00827365"/>
    <w:rsid w:val="00836C67"/>
    <w:rsid w:val="00836D2A"/>
    <w:rsid w:val="00836D8B"/>
    <w:rsid w:val="00837370"/>
    <w:rsid w:val="00841EF9"/>
    <w:rsid w:val="0084253E"/>
    <w:rsid w:val="00843276"/>
    <w:rsid w:val="00845E0C"/>
    <w:rsid w:val="00847F2D"/>
    <w:rsid w:val="00851303"/>
    <w:rsid w:val="00851BCD"/>
    <w:rsid w:val="00853DF4"/>
    <w:rsid w:val="00864447"/>
    <w:rsid w:val="00866A7D"/>
    <w:rsid w:val="00867905"/>
    <w:rsid w:val="00871707"/>
    <w:rsid w:val="00871DD8"/>
    <w:rsid w:val="00875A0E"/>
    <w:rsid w:val="00881055"/>
    <w:rsid w:val="00882608"/>
    <w:rsid w:val="008830D1"/>
    <w:rsid w:val="00883CD0"/>
    <w:rsid w:val="0088758D"/>
    <w:rsid w:val="00890318"/>
    <w:rsid w:val="008909E8"/>
    <w:rsid w:val="00890A59"/>
    <w:rsid w:val="00891A58"/>
    <w:rsid w:val="008925A7"/>
    <w:rsid w:val="008953AF"/>
    <w:rsid w:val="008A17C1"/>
    <w:rsid w:val="008A1A22"/>
    <w:rsid w:val="008A4414"/>
    <w:rsid w:val="008A58F8"/>
    <w:rsid w:val="008A663D"/>
    <w:rsid w:val="008A685E"/>
    <w:rsid w:val="008A74D9"/>
    <w:rsid w:val="008B654D"/>
    <w:rsid w:val="008C08B5"/>
    <w:rsid w:val="008C2806"/>
    <w:rsid w:val="008C3A73"/>
    <w:rsid w:val="008C52BC"/>
    <w:rsid w:val="008C6115"/>
    <w:rsid w:val="008D0BCB"/>
    <w:rsid w:val="008D108E"/>
    <w:rsid w:val="008D330C"/>
    <w:rsid w:val="008D4B87"/>
    <w:rsid w:val="008D4C13"/>
    <w:rsid w:val="008F214D"/>
    <w:rsid w:val="008F5612"/>
    <w:rsid w:val="008F7F04"/>
    <w:rsid w:val="00900167"/>
    <w:rsid w:val="00903493"/>
    <w:rsid w:val="00903C1B"/>
    <w:rsid w:val="00904B10"/>
    <w:rsid w:val="00911C4C"/>
    <w:rsid w:val="0091576C"/>
    <w:rsid w:val="009217F4"/>
    <w:rsid w:val="00923FDB"/>
    <w:rsid w:val="00924F23"/>
    <w:rsid w:val="00932246"/>
    <w:rsid w:val="00932460"/>
    <w:rsid w:val="009344F7"/>
    <w:rsid w:val="00940BE0"/>
    <w:rsid w:val="00941E95"/>
    <w:rsid w:val="00944F4D"/>
    <w:rsid w:val="00944FAF"/>
    <w:rsid w:val="00945DF5"/>
    <w:rsid w:val="009469AA"/>
    <w:rsid w:val="00947C03"/>
    <w:rsid w:val="00951048"/>
    <w:rsid w:val="00953D3A"/>
    <w:rsid w:val="0095436F"/>
    <w:rsid w:val="0095496F"/>
    <w:rsid w:val="00956BA3"/>
    <w:rsid w:val="00960326"/>
    <w:rsid w:val="00960AD9"/>
    <w:rsid w:val="00960FAD"/>
    <w:rsid w:val="00962E58"/>
    <w:rsid w:val="00971C2E"/>
    <w:rsid w:val="00971DE5"/>
    <w:rsid w:val="00972041"/>
    <w:rsid w:val="00972627"/>
    <w:rsid w:val="009738C9"/>
    <w:rsid w:val="009839FE"/>
    <w:rsid w:val="00987670"/>
    <w:rsid w:val="009932A1"/>
    <w:rsid w:val="00993F04"/>
    <w:rsid w:val="009941A2"/>
    <w:rsid w:val="00994CA9"/>
    <w:rsid w:val="009963E1"/>
    <w:rsid w:val="00996418"/>
    <w:rsid w:val="009A1B63"/>
    <w:rsid w:val="009A1DC2"/>
    <w:rsid w:val="009A1DF6"/>
    <w:rsid w:val="009A3B44"/>
    <w:rsid w:val="009A6756"/>
    <w:rsid w:val="009B0776"/>
    <w:rsid w:val="009B15CC"/>
    <w:rsid w:val="009B2780"/>
    <w:rsid w:val="009B5064"/>
    <w:rsid w:val="009B566A"/>
    <w:rsid w:val="009B6130"/>
    <w:rsid w:val="009B7485"/>
    <w:rsid w:val="009B7529"/>
    <w:rsid w:val="009C2F98"/>
    <w:rsid w:val="009C4F53"/>
    <w:rsid w:val="009C6079"/>
    <w:rsid w:val="009D005D"/>
    <w:rsid w:val="009D433B"/>
    <w:rsid w:val="009D55B8"/>
    <w:rsid w:val="009D747A"/>
    <w:rsid w:val="009E10F5"/>
    <w:rsid w:val="009E36FF"/>
    <w:rsid w:val="009E4211"/>
    <w:rsid w:val="009E54C5"/>
    <w:rsid w:val="009E6187"/>
    <w:rsid w:val="009E7825"/>
    <w:rsid w:val="009F0296"/>
    <w:rsid w:val="009F0502"/>
    <w:rsid w:val="009F09AE"/>
    <w:rsid w:val="009F1368"/>
    <w:rsid w:val="009F31B8"/>
    <w:rsid w:val="009F665C"/>
    <w:rsid w:val="009F6A37"/>
    <w:rsid w:val="009F6EBD"/>
    <w:rsid w:val="00A016F0"/>
    <w:rsid w:val="00A07918"/>
    <w:rsid w:val="00A123B6"/>
    <w:rsid w:val="00A16063"/>
    <w:rsid w:val="00A1667D"/>
    <w:rsid w:val="00A21550"/>
    <w:rsid w:val="00A23F9F"/>
    <w:rsid w:val="00A25676"/>
    <w:rsid w:val="00A27D96"/>
    <w:rsid w:val="00A30EB3"/>
    <w:rsid w:val="00A3192D"/>
    <w:rsid w:val="00A36FBA"/>
    <w:rsid w:val="00A37B0F"/>
    <w:rsid w:val="00A40FD4"/>
    <w:rsid w:val="00A41163"/>
    <w:rsid w:val="00A4155F"/>
    <w:rsid w:val="00A449CB"/>
    <w:rsid w:val="00A44D3D"/>
    <w:rsid w:val="00A454D6"/>
    <w:rsid w:val="00A57A3F"/>
    <w:rsid w:val="00A603E1"/>
    <w:rsid w:val="00A648CD"/>
    <w:rsid w:val="00A67131"/>
    <w:rsid w:val="00A72C12"/>
    <w:rsid w:val="00A744CE"/>
    <w:rsid w:val="00A75B09"/>
    <w:rsid w:val="00A76DA0"/>
    <w:rsid w:val="00A771C9"/>
    <w:rsid w:val="00A8077E"/>
    <w:rsid w:val="00A8256B"/>
    <w:rsid w:val="00A82A46"/>
    <w:rsid w:val="00A85849"/>
    <w:rsid w:val="00A90F5B"/>
    <w:rsid w:val="00A93300"/>
    <w:rsid w:val="00A961ED"/>
    <w:rsid w:val="00AA2638"/>
    <w:rsid w:val="00AA3C81"/>
    <w:rsid w:val="00AA52B0"/>
    <w:rsid w:val="00AA6673"/>
    <w:rsid w:val="00AB0EE3"/>
    <w:rsid w:val="00AB3427"/>
    <w:rsid w:val="00AB6084"/>
    <w:rsid w:val="00AB707B"/>
    <w:rsid w:val="00AC0CDA"/>
    <w:rsid w:val="00AC1101"/>
    <w:rsid w:val="00AC46DB"/>
    <w:rsid w:val="00AC6514"/>
    <w:rsid w:val="00AD3601"/>
    <w:rsid w:val="00AD4929"/>
    <w:rsid w:val="00AD4DD2"/>
    <w:rsid w:val="00AD5D3B"/>
    <w:rsid w:val="00AD6B97"/>
    <w:rsid w:val="00AD75D8"/>
    <w:rsid w:val="00AE2745"/>
    <w:rsid w:val="00AE32C3"/>
    <w:rsid w:val="00AE77BE"/>
    <w:rsid w:val="00AF3048"/>
    <w:rsid w:val="00AF45CA"/>
    <w:rsid w:val="00B00D04"/>
    <w:rsid w:val="00B0139C"/>
    <w:rsid w:val="00B04985"/>
    <w:rsid w:val="00B0521A"/>
    <w:rsid w:val="00B111AB"/>
    <w:rsid w:val="00B14D78"/>
    <w:rsid w:val="00B16317"/>
    <w:rsid w:val="00B16C6B"/>
    <w:rsid w:val="00B17DDF"/>
    <w:rsid w:val="00B2059F"/>
    <w:rsid w:val="00B221DC"/>
    <w:rsid w:val="00B23AEF"/>
    <w:rsid w:val="00B24B37"/>
    <w:rsid w:val="00B25423"/>
    <w:rsid w:val="00B32CA6"/>
    <w:rsid w:val="00B36909"/>
    <w:rsid w:val="00B3790E"/>
    <w:rsid w:val="00B44AEC"/>
    <w:rsid w:val="00B45AC8"/>
    <w:rsid w:val="00B506A0"/>
    <w:rsid w:val="00B550CB"/>
    <w:rsid w:val="00B5635A"/>
    <w:rsid w:val="00B56CD0"/>
    <w:rsid w:val="00B60334"/>
    <w:rsid w:val="00B60F78"/>
    <w:rsid w:val="00B62ABC"/>
    <w:rsid w:val="00B63227"/>
    <w:rsid w:val="00B6340F"/>
    <w:rsid w:val="00B638D2"/>
    <w:rsid w:val="00B647F6"/>
    <w:rsid w:val="00B71404"/>
    <w:rsid w:val="00B73430"/>
    <w:rsid w:val="00B740A0"/>
    <w:rsid w:val="00B77D92"/>
    <w:rsid w:val="00B77EBE"/>
    <w:rsid w:val="00B8164D"/>
    <w:rsid w:val="00B817A9"/>
    <w:rsid w:val="00B82C3B"/>
    <w:rsid w:val="00B85615"/>
    <w:rsid w:val="00B87ABC"/>
    <w:rsid w:val="00B90034"/>
    <w:rsid w:val="00B903B3"/>
    <w:rsid w:val="00B903F5"/>
    <w:rsid w:val="00B91414"/>
    <w:rsid w:val="00B93252"/>
    <w:rsid w:val="00B938B2"/>
    <w:rsid w:val="00B9494F"/>
    <w:rsid w:val="00BA1404"/>
    <w:rsid w:val="00BA1CAD"/>
    <w:rsid w:val="00BA48B2"/>
    <w:rsid w:val="00BA4A3A"/>
    <w:rsid w:val="00BA71D9"/>
    <w:rsid w:val="00BB0029"/>
    <w:rsid w:val="00BB0AC7"/>
    <w:rsid w:val="00BB33BC"/>
    <w:rsid w:val="00BB3F59"/>
    <w:rsid w:val="00BB540A"/>
    <w:rsid w:val="00BB5C38"/>
    <w:rsid w:val="00BB5F15"/>
    <w:rsid w:val="00BB68AB"/>
    <w:rsid w:val="00BC0A01"/>
    <w:rsid w:val="00BC0AE9"/>
    <w:rsid w:val="00BC0C88"/>
    <w:rsid w:val="00BC0CC3"/>
    <w:rsid w:val="00BC2096"/>
    <w:rsid w:val="00BC2B61"/>
    <w:rsid w:val="00BC355D"/>
    <w:rsid w:val="00BC3D00"/>
    <w:rsid w:val="00BC47D9"/>
    <w:rsid w:val="00BC781B"/>
    <w:rsid w:val="00BD0483"/>
    <w:rsid w:val="00BD0F01"/>
    <w:rsid w:val="00BD13F5"/>
    <w:rsid w:val="00BD2601"/>
    <w:rsid w:val="00BD4A41"/>
    <w:rsid w:val="00BD5F34"/>
    <w:rsid w:val="00BE043B"/>
    <w:rsid w:val="00BE6FDB"/>
    <w:rsid w:val="00BF76D4"/>
    <w:rsid w:val="00C01544"/>
    <w:rsid w:val="00C06649"/>
    <w:rsid w:val="00C06F5A"/>
    <w:rsid w:val="00C06FE7"/>
    <w:rsid w:val="00C15941"/>
    <w:rsid w:val="00C24901"/>
    <w:rsid w:val="00C24BC7"/>
    <w:rsid w:val="00C33780"/>
    <w:rsid w:val="00C348FC"/>
    <w:rsid w:val="00C35D66"/>
    <w:rsid w:val="00C408E2"/>
    <w:rsid w:val="00C44095"/>
    <w:rsid w:val="00C444CC"/>
    <w:rsid w:val="00C460B8"/>
    <w:rsid w:val="00C47322"/>
    <w:rsid w:val="00C50B02"/>
    <w:rsid w:val="00C511A3"/>
    <w:rsid w:val="00C511E4"/>
    <w:rsid w:val="00C52AEC"/>
    <w:rsid w:val="00C52F01"/>
    <w:rsid w:val="00C562A8"/>
    <w:rsid w:val="00C56343"/>
    <w:rsid w:val="00C57C04"/>
    <w:rsid w:val="00C601E4"/>
    <w:rsid w:val="00C62B19"/>
    <w:rsid w:val="00C634BE"/>
    <w:rsid w:val="00C74C8B"/>
    <w:rsid w:val="00C7638E"/>
    <w:rsid w:val="00C803E2"/>
    <w:rsid w:val="00C8722C"/>
    <w:rsid w:val="00C879CD"/>
    <w:rsid w:val="00C972CA"/>
    <w:rsid w:val="00C977DC"/>
    <w:rsid w:val="00C97906"/>
    <w:rsid w:val="00CA5091"/>
    <w:rsid w:val="00CB1879"/>
    <w:rsid w:val="00CB1C72"/>
    <w:rsid w:val="00CB56CF"/>
    <w:rsid w:val="00CC0185"/>
    <w:rsid w:val="00CC259B"/>
    <w:rsid w:val="00CC3211"/>
    <w:rsid w:val="00CC4DA7"/>
    <w:rsid w:val="00CD17A0"/>
    <w:rsid w:val="00CE24F6"/>
    <w:rsid w:val="00CE2D86"/>
    <w:rsid w:val="00CE56F5"/>
    <w:rsid w:val="00CF6634"/>
    <w:rsid w:val="00D01E85"/>
    <w:rsid w:val="00D06958"/>
    <w:rsid w:val="00D1345C"/>
    <w:rsid w:val="00D150EC"/>
    <w:rsid w:val="00D177DA"/>
    <w:rsid w:val="00D213C4"/>
    <w:rsid w:val="00D235FF"/>
    <w:rsid w:val="00D23650"/>
    <w:rsid w:val="00D256CD"/>
    <w:rsid w:val="00D25AC5"/>
    <w:rsid w:val="00D27021"/>
    <w:rsid w:val="00D27878"/>
    <w:rsid w:val="00D27B4E"/>
    <w:rsid w:val="00D30D29"/>
    <w:rsid w:val="00D36DD5"/>
    <w:rsid w:val="00D42950"/>
    <w:rsid w:val="00D44080"/>
    <w:rsid w:val="00D44421"/>
    <w:rsid w:val="00D476F9"/>
    <w:rsid w:val="00D604A2"/>
    <w:rsid w:val="00D62040"/>
    <w:rsid w:val="00D6415E"/>
    <w:rsid w:val="00D703CD"/>
    <w:rsid w:val="00D7290E"/>
    <w:rsid w:val="00D7524C"/>
    <w:rsid w:val="00D7622D"/>
    <w:rsid w:val="00D7635E"/>
    <w:rsid w:val="00D80335"/>
    <w:rsid w:val="00D80633"/>
    <w:rsid w:val="00D8099F"/>
    <w:rsid w:val="00D81BC0"/>
    <w:rsid w:val="00D8534E"/>
    <w:rsid w:val="00D8687D"/>
    <w:rsid w:val="00D86954"/>
    <w:rsid w:val="00D87849"/>
    <w:rsid w:val="00D91DE3"/>
    <w:rsid w:val="00D94535"/>
    <w:rsid w:val="00D97ED7"/>
    <w:rsid w:val="00DA2595"/>
    <w:rsid w:val="00DA2786"/>
    <w:rsid w:val="00DA2F39"/>
    <w:rsid w:val="00DB18DF"/>
    <w:rsid w:val="00DB30E6"/>
    <w:rsid w:val="00DB5F13"/>
    <w:rsid w:val="00DB71D3"/>
    <w:rsid w:val="00DB72CA"/>
    <w:rsid w:val="00DC2B52"/>
    <w:rsid w:val="00DC3AC4"/>
    <w:rsid w:val="00DC64DD"/>
    <w:rsid w:val="00DC7210"/>
    <w:rsid w:val="00DD4E6F"/>
    <w:rsid w:val="00DD5B21"/>
    <w:rsid w:val="00DD633D"/>
    <w:rsid w:val="00DE36F5"/>
    <w:rsid w:val="00DE6877"/>
    <w:rsid w:val="00DE6D82"/>
    <w:rsid w:val="00DF144C"/>
    <w:rsid w:val="00DF197E"/>
    <w:rsid w:val="00DF36C8"/>
    <w:rsid w:val="00DF62B4"/>
    <w:rsid w:val="00E00969"/>
    <w:rsid w:val="00E02CC2"/>
    <w:rsid w:val="00E04AE8"/>
    <w:rsid w:val="00E04F80"/>
    <w:rsid w:val="00E075A1"/>
    <w:rsid w:val="00E07E6A"/>
    <w:rsid w:val="00E10B3B"/>
    <w:rsid w:val="00E149AD"/>
    <w:rsid w:val="00E24B56"/>
    <w:rsid w:val="00E319F2"/>
    <w:rsid w:val="00E32D90"/>
    <w:rsid w:val="00E33D27"/>
    <w:rsid w:val="00E3713C"/>
    <w:rsid w:val="00E405B5"/>
    <w:rsid w:val="00E41E63"/>
    <w:rsid w:val="00E613BA"/>
    <w:rsid w:val="00E64E45"/>
    <w:rsid w:val="00E659BE"/>
    <w:rsid w:val="00E66049"/>
    <w:rsid w:val="00E6781A"/>
    <w:rsid w:val="00E70355"/>
    <w:rsid w:val="00E80600"/>
    <w:rsid w:val="00E840FE"/>
    <w:rsid w:val="00E8451C"/>
    <w:rsid w:val="00E900BC"/>
    <w:rsid w:val="00E918D0"/>
    <w:rsid w:val="00E922B8"/>
    <w:rsid w:val="00E94FBC"/>
    <w:rsid w:val="00E96236"/>
    <w:rsid w:val="00E962B6"/>
    <w:rsid w:val="00EA0DE1"/>
    <w:rsid w:val="00EA4536"/>
    <w:rsid w:val="00EA51F3"/>
    <w:rsid w:val="00EA75D7"/>
    <w:rsid w:val="00EB0740"/>
    <w:rsid w:val="00EB2AFE"/>
    <w:rsid w:val="00EB54E1"/>
    <w:rsid w:val="00EB6750"/>
    <w:rsid w:val="00EC3EDA"/>
    <w:rsid w:val="00EC716D"/>
    <w:rsid w:val="00EC735C"/>
    <w:rsid w:val="00EC7877"/>
    <w:rsid w:val="00ED42B9"/>
    <w:rsid w:val="00ED489A"/>
    <w:rsid w:val="00EE10A1"/>
    <w:rsid w:val="00EE2A2F"/>
    <w:rsid w:val="00EE2BF7"/>
    <w:rsid w:val="00EE77C2"/>
    <w:rsid w:val="00EE7B72"/>
    <w:rsid w:val="00EF0123"/>
    <w:rsid w:val="00EF286A"/>
    <w:rsid w:val="00EF3E03"/>
    <w:rsid w:val="00EF587C"/>
    <w:rsid w:val="00EF5C2A"/>
    <w:rsid w:val="00F00F4E"/>
    <w:rsid w:val="00F010B3"/>
    <w:rsid w:val="00F02EE6"/>
    <w:rsid w:val="00F072B8"/>
    <w:rsid w:val="00F123AD"/>
    <w:rsid w:val="00F13230"/>
    <w:rsid w:val="00F14E06"/>
    <w:rsid w:val="00F21324"/>
    <w:rsid w:val="00F223C6"/>
    <w:rsid w:val="00F22645"/>
    <w:rsid w:val="00F27BB2"/>
    <w:rsid w:val="00F300BB"/>
    <w:rsid w:val="00F30398"/>
    <w:rsid w:val="00F35134"/>
    <w:rsid w:val="00F434E8"/>
    <w:rsid w:val="00F45F5D"/>
    <w:rsid w:val="00F46465"/>
    <w:rsid w:val="00F47E1F"/>
    <w:rsid w:val="00F50191"/>
    <w:rsid w:val="00F536E4"/>
    <w:rsid w:val="00F5476F"/>
    <w:rsid w:val="00F55006"/>
    <w:rsid w:val="00F562A0"/>
    <w:rsid w:val="00F577EF"/>
    <w:rsid w:val="00F61092"/>
    <w:rsid w:val="00F61636"/>
    <w:rsid w:val="00F65C55"/>
    <w:rsid w:val="00F663DC"/>
    <w:rsid w:val="00F673E6"/>
    <w:rsid w:val="00F7178B"/>
    <w:rsid w:val="00F71889"/>
    <w:rsid w:val="00F7222C"/>
    <w:rsid w:val="00F730B1"/>
    <w:rsid w:val="00F7326C"/>
    <w:rsid w:val="00F82AB6"/>
    <w:rsid w:val="00F838AB"/>
    <w:rsid w:val="00F84855"/>
    <w:rsid w:val="00F861F4"/>
    <w:rsid w:val="00F90D5B"/>
    <w:rsid w:val="00F90DB2"/>
    <w:rsid w:val="00F91423"/>
    <w:rsid w:val="00F93D9D"/>
    <w:rsid w:val="00F9483A"/>
    <w:rsid w:val="00F949CC"/>
    <w:rsid w:val="00F9670B"/>
    <w:rsid w:val="00FA145B"/>
    <w:rsid w:val="00FA4E45"/>
    <w:rsid w:val="00FA6769"/>
    <w:rsid w:val="00FB3780"/>
    <w:rsid w:val="00FB5F96"/>
    <w:rsid w:val="00FC35F7"/>
    <w:rsid w:val="00FC3B2D"/>
    <w:rsid w:val="00FC61C1"/>
    <w:rsid w:val="00FC6548"/>
    <w:rsid w:val="00FC76BE"/>
    <w:rsid w:val="00FD21C4"/>
    <w:rsid w:val="00FD3818"/>
    <w:rsid w:val="00FD3A77"/>
    <w:rsid w:val="00FD6646"/>
    <w:rsid w:val="00FE0AEA"/>
    <w:rsid w:val="00FE1311"/>
    <w:rsid w:val="00FE40CE"/>
    <w:rsid w:val="00FF0154"/>
    <w:rsid w:val="00FF16E7"/>
    <w:rsid w:val="00FF1A89"/>
    <w:rsid w:val="00FF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0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04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20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2041"/>
    <w:pPr>
      <w:ind w:left="720"/>
      <w:contextualSpacing/>
    </w:pPr>
  </w:style>
  <w:style w:type="paragraph" w:styleId="2">
    <w:name w:val="Body Text 2"/>
    <w:basedOn w:val="a"/>
    <w:link w:val="20"/>
    <w:rsid w:val="00972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72041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9720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72041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rsid w:val="009720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72041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972041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97204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72041"/>
    <w:rPr>
      <w:i/>
      <w:iCs/>
    </w:rPr>
  </w:style>
  <w:style w:type="character" w:customStyle="1" w:styleId="af">
    <w:name w:val="Цветовое выделение"/>
    <w:uiPriority w:val="99"/>
    <w:rsid w:val="00972041"/>
    <w:rPr>
      <w:b/>
      <w:bCs/>
      <w:color w:val="26282F"/>
    </w:rPr>
  </w:style>
  <w:style w:type="character" w:customStyle="1" w:styleId="af0">
    <w:name w:val="Текст выноски Знак"/>
    <w:basedOn w:val="a0"/>
    <w:link w:val="af1"/>
    <w:uiPriority w:val="99"/>
    <w:semiHidden/>
    <w:rsid w:val="0097204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972041"/>
    <w:rPr>
      <w:rFonts w:ascii="Tahoma" w:hAnsi="Tahoma" w:cs="Tahoma"/>
      <w:sz w:val="16"/>
      <w:szCs w:val="16"/>
    </w:rPr>
  </w:style>
  <w:style w:type="paragraph" w:customStyle="1" w:styleId="af2">
    <w:name w:val="Заголовок статьи"/>
    <w:basedOn w:val="a"/>
    <w:next w:val="a"/>
    <w:uiPriority w:val="99"/>
    <w:rsid w:val="0097204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97204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972041"/>
  </w:style>
  <w:style w:type="paragraph" w:customStyle="1" w:styleId="ConsPlusNormal">
    <w:name w:val="ConsPlusNormal"/>
    <w:rsid w:val="0097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link w:val="ConsPlusCell0"/>
    <w:uiPriority w:val="99"/>
    <w:rsid w:val="00972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aliases w:val="текст сноски,Знак сноски-FN,Ciae niinee-FN,Знак сноски 1,Ciae niinee 1"/>
    <w:basedOn w:val="a0"/>
    <w:uiPriority w:val="99"/>
    <w:rsid w:val="00972041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2468AE"/>
    <w:pPr>
      <w:ind w:left="720"/>
    </w:pPr>
    <w:rPr>
      <w:rFonts w:eastAsia="Calibri"/>
    </w:rPr>
  </w:style>
  <w:style w:type="paragraph" w:styleId="af5">
    <w:name w:val="Normal (Web)"/>
    <w:aliases w:val="Обычный (Web)"/>
    <w:basedOn w:val="a"/>
    <w:uiPriority w:val="99"/>
    <w:rsid w:val="007971C5"/>
    <w:pPr>
      <w:spacing w:before="100" w:beforeAutospacing="1" w:after="100" w:afterAutospacing="1"/>
    </w:pPr>
  </w:style>
  <w:style w:type="paragraph" w:customStyle="1" w:styleId="ConsPlusTitle">
    <w:name w:val="ConsPlusTitle"/>
    <w:rsid w:val="00971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71C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_"/>
    <w:link w:val="12"/>
    <w:locked/>
    <w:rsid w:val="003B0ACB"/>
    <w:rPr>
      <w:spacing w:val="4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B0ACB"/>
    <w:pPr>
      <w:shd w:val="clear" w:color="auto" w:fill="FFFFFF"/>
      <w:spacing w:before="360" w:line="317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table" w:styleId="af7">
    <w:name w:val="Table Grid"/>
    <w:basedOn w:val="a1"/>
    <w:uiPriority w:val="59"/>
    <w:rsid w:val="0018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5B7DD593E3DA3A8010F26C7C2396F1D762C37B7411D705518748DC8953877447341D4DBB1E257816F0969qBu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FCD8-EF15-4B06-AA48-776389BF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13</Pages>
  <Words>6148</Words>
  <Characters>35046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41112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Виктор_2</dc:creator>
  <cp:lastModifiedBy>V_Mirgorodov</cp:lastModifiedBy>
  <cp:revision>7</cp:revision>
  <cp:lastPrinted>2020-04-13T10:07:00Z</cp:lastPrinted>
  <dcterms:created xsi:type="dcterms:W3CDTF">2020-04-06T05:36:00Z</dcterms:created>
  <dcterms:modified xsi:type="dcterms:W3CDTF">2020-04-13T10:10:00Z</dcterms:modified>
</cp:coreProperties>
</file>