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C649" w14:textId="77777777" w:rsidR="0039653E" w:rsidRDefault="0039653E" w:rsidP="00725C55">
      <w:pPr>
        <w:tabs>
          <w:tab w:val="left" w:pos="2505"/>
        </w:tabs>
        <w:ind w:left="5954"/>
        <w:rPr>
          <w:rFonts w:ascii="Times New Roman" w:hAnsi="Times New Roman"/>
          <w:b/>
          <w:bCs/>
          <w:lang w:val="ru-RU"/>
        </w:rPr>
      </w:pPr>
    </w:p>
    <w:p w14:paraId="4BE59B96" w14:textId="4A115458" w:rsidR="00725C55" w:rsidRPr="00725C55" w:rsidRDefault="00137235" w:rsidP="00725C55">
      <w:pPr>
        <w:tabs>
          <w:tab w:val="left" w:pos="2505"/>
        </w:tabs>
        <w:ind w:left="5954"/>
        <w:rPr>
          <w:rFonts w:ascii="Times New Roman" w:eastAsia="Calibri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F64D68">
        <w:rPr>
          <w:rFonts w:ascii="Times New Roman" w:hAnsi="Times New Roman"/>
          <w:b/>
          <w:bCs/>
          <w:lang w:val="ru-RU"/>
        </w:rPr>
        <w:t>ТВЕРЖДЕНО</w:t>
      </w:r>
    </w:p>
    <w:p w14:paraId="428EA4C1" w14:textId="77777777" w:rsidR="00725C55" w:rsidRPr="00F64D68" w:rsidRDefault="00725C55" w:rsidP="00725C55">
      <w:pPr>
        <w:tabs>
          <w:tab w:val="left" w:pos="2505"/>
        </w:tabs>
        <w:ind w:left="5954" w:right="-285"/>
        <w:rPr>
          <w:rFonts w:ascii="Times New Roman" w:hAnsi="Times New Roman"/>
          <w:lang w:val="ru-RU"/>
        </w:rPr>
      </w:pPr>
      <w:r w:rsidRPr="00F64D68">
        <w:rPr>
          <w:rFonts w:ascii="Times New Roman" w:hAnsi="Times New Roman"/>
          <w:lang w:val="ru-RU"/>
        </w:rPr>
        <w:t xml:space="preserve">Председатель </w:t>
      </w:r>
    </w:p>
    <w:p w14:paraId="75536317" w14:textId="77777777" w:rsidR="00725C55" w:rsidRPr="00F64D68" w:rsidRDefault="00725C55" w:rsidP="00725C55">
      <w:pPr>
        <w:tabs>
          <w:tab w:val="left" w:pos="2505"/>
        </w:tabs>
        <w:ind w:left="5954" w:right="-285"/>
        <w:rPr>
          <w:rFonts w:ascii="Times New Roman" w:hAnsi="Times New Roman"/>
          <w:lang w:val="ru-RU"/>
        </w:rPr>
      </w:pPr>
      <w:r w:rsidRPr="00F64D68">
        <w:rPr>
          <w:rFonts w:ascii="Times New Roman" w:hAnsi="Times New Roman"/>
          <w:lang w:val="ru-RU"/>
        </w:rPr>
        <w:t xml:space="preserve">контрольно-счётной палаты </w:t>
      </w:r>
    </w:p>
    <w:p w14:paraId="1B0D678A" w14:textId="77777777" w:rsidR="00725C55" w:rsidRPr="00F64D68" w:rsidRDefault="00725C55" w:rsidP="00725C55">
      <w:pPr>
        <w:tabs>
          <w:tab w:val="left" w:pos="2505"/>
        </w:tabs>
        <w:ind w:left="5954"/>
        <w:rPr>
          <w:rFonts w:ascii="Times New Roman" w:hAnsi="Times New Roman"/>
          <w:lang w:val="ru-RU"/>
        </w:rPr>
      </w:pPr>
      <w:r w:rsidRPr="00F64D68">
        <w:rPr>
          <w:rFonts w:ascii="Times New Roman" w:hAnsi="Times New Roman"/>
          <w:lang w:val="ru-RU"/>
        </w:rPr>
        <w:t>Волгоградской области</w:t>
      </w:r>
    </w:p>
    <w:p w14:paraId="6C49C81C" w14:textId="77777777" w:rsidR="00725C55" w:rsidRPr="00F64D68" w:rsidRDefault="00725C55" w:rsidP="00725C55">
      <w:pPr>
        <w:tabs>
          <w:tab w:val="left" w:pos="2505"/>
        </w:tabs>
        <w:ind w:left="5954" w:right="-143"/>
        <w:rPr>
          <w:rFonts w:ascii="Times New Roman" w:hAnsi="Times New Roman"/>
          <w:lang w:val="ru-RU"/>
        </w:rPr>
      </w:pPr>
      <w:r w:rsidRPr="00F64D68">
        <w:rPr>
          <w:rFonts w:ascii="Times New Roman" w:hAnsi="Times New Roman"/>
          <w:lang w:val="ru-RU"/>
        </w:rPr>
        <w:t>__________________ И.А. Дьяченко</w:t>
      </w:r>
    </w:p>
    <w:p w14:paraId="658ED61A" w14:textId="7039E87F" w:rsidR="00725C55" w:rsidRPr="00F64D68" w:rsidRDefault="00725C55" w:rsidP="00725C55">
      <w:pPr>
        <w:tabs>
          <w:tab w:val="left" w:pos="2505"/>
        </w:tabs>
        <w:ind w:left="5954"/>
        <w:rPr>
          <w:rFonts w:ascii="Times New Roman" w:hAnsi="Times New Roman"/>
          <w:lang w:val="ru-RU"/>
        </w:rPr>
      </w:pPr>
      <w:r w:rsidRPr="00F64D68">
        <w:rPr>
          <w:rFonts w:ascii="Times New Roman" w:hAnsi="Times New Roman"/>
          <w:lang w:val="ru-RU"/>
        </w:rPr>
        <w:t>___ апреля 2021 года</w:t>
      </w:r>
    </w:p>
    <w:p w14:paraId="33B88E12" w14:textId="77777777" w:rsidR="00725C55" w:rsidRDefault="00725C55" w:rsidP="007D5A48">
      <w:pPr>
        <w:ind w:firstLine="709"/>
        <w:jc w:val="center"/>
        <w:rPr>
          <w:rFonts w:ascii="Times New Roman" w:hAnsi="Times New Roman"/>
          <w:b/>
          <w:bCs/>
          <w:iCs/>
          <w:lang w:val="ru-RU"/>
        </w:rPr>
      </w:pPr>
    </w:p>
    <w:p w14:paraId="33614A2C" w14:textId="58781220" w:rsidR="00F64D68" w:rsidRDefault="00F64D68" w:rsidP="007D5A48">
      <w:pPr>
        <w:ind w:firstLine="709"/>
        <w:jc w:val="center"/>
        <w:rPr>
          <w:rFonts w:ascii="Times New Roman" w:hAnsi="Times New Roman"/>
          <w:b/>
          <w:bCs/>
          <w:iCs/>
          <w:lang w:val="ru-RU"/>
        </w:rPr>
      </w:pPr>
    </w:p>
    <w:p w14:paraId="115C3098" w14:textId="77777777" w:rsidR="005A1E06" w:rsidRDefault="005A1E06" w:rsidP="007D5A48">
      <w:pPr>
        <w:ind w:firstLine="709"/>
        <w:jc w:val="center"/>
        <w:rPr>
          <w:rFonts w:ascii="Times New Roman" w:hAnsi="Times New Roman"/>
          <w:b/>
          <w:bCs/>
          <w:iCs/>
          <w:lang w:val="ru-RU"/>
        </w:rPr>
      </w:pPr>
    </w:p>
    <w:p w14:paraId="0A4177B4" w14:textId="167F7968" w:rsidR="00850558" w:rsidRPr="00ED65FF" w:rsidRDefault="00725C55" w:rsidP="007D5A48">
      <w:pPr>
        <w:ind w:firstLine="709"/>
        <w:jc w:val="center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ЗАКЛЮЧЕНИЕ</w:t>
      </w:r>
    </w:p>
    <w:p w14:paraId="0C99E373" w14:textId="77777777" w:rsidR="00ED65FF" w:rsidRPr="001F22FB" w:rsidRDefault="001F22FB" w:rsidP="007D5A48">
      <w:pPr>
        <w:ind w:firstLine="709"/>
        <w:jc w:val="center"/>
        <w:rPr>
          <w:rFonts w:ascii="Times New Roman" w:hAnsi="Times New Roman"/>
          <w:b/>
          <w:bCs/>
          <w:i/>
          <w:iCs/>
          <w:lang w:val="ru-RU"/>
        </w:rPr>
      </w:pPr>
      <w:r w:rsidRPr="001F22FB">
        <w:rPr>
          <w:rFonts w:ascii="Times New Roman" w:hAnsi="Times New Roman"/>
          <w:b/>
          <w:bCs/>
          <w:i/>
          <w:iCs/>
          <w:lang w:val="ru-RU"/>
        </w:rPr>
        <w:t xml:space="preserve">по результатам </w:t>
      </w:r>
      <w:r w:rsidR="00850558" w:rsidRPr="001F22FB">
        <w:rPr>
          <w:rFonts w:ascii="Times New Roman" w:hAnsi="Times New Roman"/>
          <w:b/>
          <w:bCs/>
          <w:i/>
          <w:iCs/>
          <w:lang w:val="ru-RU"/>
        </w:rPr>
        <w:t xml:space="preserve">внешней проверки бюджетной отчетности и отдельных вопросов исполнения областного бюджета </w:t>
      </w:r>
      <w:r w:rsidR="002568EA">
        <w:rPr>
          <w:rFonts w:ascii="Times New Roman" w:hAnsi="Times New Roman"/>
          <w:b/>
          <w:bCs/>
          <w:i/>
          <w:iCs/>
          <w:lang w:val="ru-RU"/>
        </w:rPr>
        <w:t>за</w:t>
      </w:r>
      <w:r w:rsidR="002F3411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="002568EA">
        <w:rPr>
          <w:rFonts w:ascii="Times New Roman" w:hAnsi="Times New Roman"/>
          <w:b/>
          <w:bCs/>
          <w:i/>
          <w:iCs/>
          <w:lang w:val="ru-RU"/>
        </w:rPr>
        <w:t xml:space="preserve">2020 год главным администратором средств областного бюджета - </w:t>
      </w:r>
      <w:r w:rsidR="00850558" w:rsidRPr="001F22FB">
        <w:rPr>
          <w:rFonts w:ascii="Times New Roman" w:hAnsi="Times New Roman"/>
          <w:b/>
          <w:bCs/>
          <w:i/>
          <w:iCs/>
          <w:lang w:val="ru-RU"/>
        </w:rPr>
        <w:t xml:space="preserve">комитетом </w:t>
      </w:r>
      <w:r w:rsidR="0079328D" w:rsidRPr="001F22FB">
        <w:rPr>
          <w:rFonts w:ascii="Times New Roman" w:hAnsi="Times New Roman"/>
          <w:b/>
          <w:bCs/>
          <w:i/>
          <w:iCs/>
          <w:lang w:val="ru-RU"/>
        </w:rPr>
        <w:t>т</w:t>
      </w:r>
      <w:r w:rsidR="00850558" w:rsidRPr="001F22FB">
        <w:rPr>
          <w:rFonts w:ascii="Times New Roman" w:hAnsi="Times New Roman"/>
          <w:b/>
          <w:bCs/>
          <w:i/>
          <w:iCs/>
          <w:lang w:val="ru-RU"/>
        </w:rPr>
        <w:t>ари</w:t>
      </w:r>
      <w:r w:rsidR="0079328D" w:rsidRPr="001F22FB">
        <w:rPr>
          <w:rFonts w:ascii="Times New Roman" w:hAnsi="Times New Roman"/>
          <w:b/>
          <w:bCs/>
          <w:i/>
          <w:iCs/>
          <w:lang w:val="ru-RU"/>
        </w:rPr>
        <w:t>фного р</w:t>
      </w:r>
      <w:r w:rsidR="00850558" w:rsidRPr="001F22FB">
        <w:rPr>
          <w:rFonts w:ascii="Times New Roman" w:hAnsi="Times New Roman"/>
          <w:b/>
          <w:bCs/>
          <w:i/>
          <w:iCs/>
          <w:lang w:val="ru-RU"/>
        </w:rPr>
        <w:t>е</w:t>
      </w:r>
      <w:r w:rsidR="0079328D" w:rsidRPr="001F22FB">
        <w:rPr>
          <w:rFonts w:ascii="Times New Roman" w:hAnsi="Times New Roman"/>
          <w:b/>
          <w:bCs/>
          <w:i/>
          <w:iCs/>
          <w:lang w:val="ru-RU"/>
        </w:rPr>
        <w:t>г</w:t>
      </w:r>
      <w:r w:rsidR="00850558" w:rsidRPr="001F22FB">
        <w:rPr>
          <w:rFonts w:ascii="Times New Roman" w:hAnsi="Times New Roman"/>
          <w:b/>
          <w:bCs/>
          <w:i/>
          <w:iCs/>
          <w:lang w:val="ru-RU"/>
        </w:rPr>
        <w:t>у</w:t>
      </w:r>
      <w:r w:rsidR="0079328D" w:rsidRPr="001F22FB">
        <w:rPr>
          <w:rFonts w:ascii="Times New Roman" w:hAnsi="Times New Roman"/>
          <w:b/>
          <w:bCs/>
          <w:i/>
          <w:iCs/>
          <w:lang w:val="ru-RU"/>
        </w:rPr>
        <w:t>ли</w:t>
      </w:r>
      <w:r w:rsidR="00850558" w:rsidRPr="001F22FB">
        <w:rPr>
          <w:rFonts w:ascii="Times New Roman" w:hAnsi="Times New Roman"/>
          <w:b/>
          <w:bCs/>
          <w:i/>
          <w:iCs/>
          <w:lang w:val="ru-RU"/>
        </w:rPr>
        <w:t>р</w:t>
      </w:r>
      <w:r w:rsidR="0079328D" w:rsidRPr="001F22FB">
        <w:rPr>
          <w:rFonts w:ascii="Times New Roman" w:hAnsi="Times New Roman"/>
          <w:b/>
          <w:bCs/>
          <w:i/>
          <w:iCs/>
          <w:lang w:val="ru-RU"/>
        </w:rPr>
        <w:t>ования</w:t>
      </w:r>
    </w:p>
    <w:p w14:paraId="06B768F4" w14:textId="77777777" w:rsidR="00850558" w:rsidRPr="001F22FB" w:rsidRDefault="00850558" w:rsidP="007D5A48">
      <w:pPr>
        <w:ind w:firstLine="709"/>
        <w:jc w:val="center"/>
        <w:rPr>
          <w:rFonts w:ascii="Times New Roman" w:hAnsi="Times New Roman"/>
          <w:b/>
          <w:i/>
          <w:lang w:val="ru-RU"/>
        </w:rPr>
      </w:pPr>
      <w:r w:rsidRPr="001F22FB">
        <w:rPr>
          <w:rFonts w:ascii="Times New Roman" w:hAnsi="Times New Roman"/>
          <w:b/>
          <w:bCs/>
          <w:i/>
          <w:iCs/>
          <w:lang w:val="ru-RU"/>
        </w:rPr>
        <w:t xml:space="preserve">Волгоградской области </w:t>
      </w:r>
    </w:p>
    <w:p w14:paraId="454218A1" w14:textId="77777777" w:rsidR="00850558" w:rsidRPr="000931E4" w:rsidRDefault="00850558" w:rsidP="008072BD">
      <w:pPr>
        <w:pStyle w:val="a3"/>
        <w:ind w:firstLine="709"/>
        <w:rPr>
          <w:rFonts w:ascii="Times New Roman" w:hAnsi="Times New Roman"/>
          <w:szCs w:val="24"/>
          <w:lang w:val="ru-RU"/>
        </w:rPr>
      </w:pPr>
      <w:r w:rsidRPr="000931E4">
        <w:rPr>
          <w:rFonts w:ascii="Times New Roman" w:hAnsi="Times New Roman"/>
          <w:szCs w:val="24"/>
          <w:lang w:val="ru-RU"/>
        </w:rPr>
        <w:t xml:space="preserve">               </w:t>
      </w:r>
    </w:p>
    <w:p w14:paraId="13B7B6FA" w14:textId="77777777" w:rsidR="00A636F2" w:rsidRPr="000931E4" w:rsidRDefault="00A636F2" w:rsidP="00A636F2">
      <w:pPr>
        <w:pStyle w:val="a5"/>
        <w:ind w:firstLine="708"/>
        <w:jc w:val="both"/>
        <w:rPr>
          <w:b w:val="0"/>
        </w:rPr>
      </w:pPr>
      <w:r w:rsidRPr="000931E4">
        <w:rPr>
          <w:b w:val="0"/>
        </w:rPr>
        <w:t xml:space="preserve">В соответствии с Планом работы контрольно-счетной палаты Волгоградской области (далее КСП) на 2021 год, утвержденным постановлением коллегии КСП от </w:t>
      </w:r>
      <w:r w:rsidRPr="000931E4">
        <w:rPr>
          <w:b w:val="0"/>
          <w:szCs w:val="24"/>
        </w:rPr>
        <w:t>03.12.2020 № 13/3</w:t>
      </w:r>
      <w:r w:rsidRPr="000931E4">
        <w:rPr>
          <w:b w:val="0"/>
        </w:rPr>
        <w:t xml:space="preserve">, проведена камеральная внешняя проверка бюджетной отчетности и </w:t>
      </w:r>
      <w:r w:rsidRPr="000931E4">
        <w:rPr>
          <w:b w:val="0"/>
          <w:szCs w:val="24"/>
        </w:rPr>
        <w:t>отдельных вопросов исполнения областного бюджета</w:t>
      </w:r>
      <w:r w:rsidRPr="000931E4">
        <w:rPr>
          <w:b w:val="0"/>
        </w:rPr>
        <w:t xml:space="preserve"> за 2020 год главным администратором средств областного бюджета - комитетом тарифного регулирования Волгоградской области</w:t>
      </w:r>
      <w:r w:rsidR="002568EA" w:rsidRPr="000931E4">
        <w:rPr>
          <w:b w:val="0"/>
        </w:rPr>
        <w:t xml:space="preserve"> (далее Комитет, КТР)</w:t>
      </w:r>
      <w:r w:rsidRPr="000931E4">
        <w:rPr>
          <w:b w:val="0"/>
        </w:rPr>
        <w:t>.</w:t>
      </w:r>
    </w:p>
    <w:p w14:paraId="09F34A2C" w14:textId="77777777" w:rsidR="00850558" w:rsidRPr="000931E4" w:rsidRDefault="00850558" w:rsidP="008072BD">
      <w:pPr>
        <w:ind w:firstLine="709"/>
        <w:jc w:val="both"/>
        <w:rPr>
          <w:rFonts w:ascii="Times New Roman" w:hAnsi="Times New Roman"/>
          <w:lang w:val="ru-RU"/>
        </w:rPr>
      </w:pPr>
    </w:p>
    <w:p w14:paraId="55713A0C" w14:textId="36674716" w:rsidR="00850558" w:rsidRDefault="00A3707D" w:rsidP="008072BD">
      <w:pPr>
        <w:ind w:firstLine="709"/>
        <w:rPr>
          <w:rFonts w:ascii="Times New Roman" w:hAnsi="Times New Roman"/>
          <w:b/>
          <w:lang w:val="ru-RU"/>
        </w:rPr>
      </w:pPr>
      <w:r w:rsidRPr="00A636F2">
        <w:rPr>
          <w:rFonts w:ascii="Times New Roman" w:hAnsi="Times New Roman"/>
          <w:b/>
          <w:lang w:val="ru-RU"/>
        </w:rPr>
        <w:t xml:space="preserve">  </w:t>
      </w:r>
      <w:r w:rsidR="00850558" w:rsidRPr="00A636F2">
        <w:rPr>
          <w:rFonts w:ascii="Times New Roman" w:hAnsi="Times New Roman"/>
          <w:b/>
          <w:lang w:val="ru-RU"/>
        </w:rPr>
        <w:t xml:space="preserve">                                                     Общие сведения</w:t>
      </w:r>
    </w:p>
    <w:p w14:paraId="331EED50" w14:textId="77777777" w:rsidR="00F64D68" w:rsidRPr="00A636F2" w:rsidRDefault="00F64D68" w:rsidP="008072BD">
      <w:pPr>
        <w:ind w:firstLine="709"/>
        <w:rPr>
          <w:rFonts w:ascii="Times New Roman" w:hAnsi="Times New Roman"/>
          <w:b/>
          <w:i/>
          <w:highlight w:val="cyan"/>
          <w:lang w:val="ru-RU"/>
        </w:rPr>
      </w:pPr>
    </w:p>
    <w:p w14:paraId="73CCC3CF" w14:textId="77777777" w:rsidR="004F6B19" w:rsidRPr="00A636F2" w:rsidRDefault="00A636F2" w:rsidP="008072BD">
      <w:pPr>
        <w:ind w:firstLine="709"/>
        <w:jc w:val="both"/>
        <w:rPr>
          <w:rFonts w:ascii="Times New Roman" w:hAnsi="Times New Roman"/>
          <w:lang w:val="ru-RU"/>
        </w:rPr>
      </w:pPr>
      <w:r w:rsidRPr="00A636F2">
        <w:rPr>
          <w:rFonts w:ascii="Times New Roman" w:hAnsi="Times New Roman"/>
          <w:lang w:val="ru-RU"/>
        </w:rPr>
        <w:t xml:space="preserve">Согласно </w:t>
      </w:r>
      <w:r w:rsidR="007053BF" w:rsidRPr="00A636F2">
        <w:rPr>
          <w:rFonts w:ascii="Times New Roman" w:hAnsi="Times New Roman"/>
          <w:lang w:val="ru-RU"/>
        </w:rPr>
        <w:t>Положени</w:t>
      </w:r>
      <w:r w:rsidRPr="00A636F2">
        <w:rPr>
          <w:rFonts w:ascii="Times New Roman" w:hAnsi="Times New Roman"/>
          <w:lang w:val="ru-RU"/>
        </w:rPr>
        <w:t>ю</w:t>
      </w:r>
      <w:r w:rsidR="007053BF" w:rsidRPr="00A636F2">
        <w:rPr>
          <w:rFonts w:ascii="Times New Roman" w:hAnsi="Times New Roman"/>
          <w:lang w:val="ru-RU"/>
        </w:rPr>
        <w:t xml:space="preserve"> </w:t>
      </w:r>
      <w:r w:rsidR="004F6B19" w:rsidRPr="00A636F2">
        <w:rPr>
          <w:rFonts w:ascii="Times New Roman" w:hAnsi="Times New Roman"/>
          <w:bCs/>
          <w:lang w:val="ru-RU"/>
        </w:rPr>
        <w:t>о КТР, утвержденн</w:t>
      </w:r>
      <w:r w:rsidRPr="00A636F2">
        <w:rPr>
          <w:rFonts w:ascii="Times New Roman" w:hAnsi="Times New Roman"/>
          <w:bCs/>
          <w:lang w:val="ru-RU"/>
        </w:rPr>
        <w:t>ому</w:t>
      </w:r>
      <w:r w:rsidR="004F6B19" w:rsidRPr="00A636F2">
        <w:rPr>
          <w:rFonts w:ascii="Times New Roman" w:hAnsi="Times New Roman"/>
          <w:bCs/>
          <w:lang w:val="ru-RU"/>
        </w:rPr>
        <w:t xml:space="preserve"> </w:t>
      </w:r>
      <w:hyperlink w:anchor="sub_0" w:history="1">
        <w:r w:rsidR="004F6B19" w:rsidRPr="00A636F2">
          <w:rPr>
            <w:rFonts w:ascii="Times New Roman" w:hAnsi="Times New Roman"/>
            <w:lang w:val="ru-RU"/>
          </w:rPr>
          <w:t>постановлением</w:t>
        </w:r>
      </w:hyperlink>
      <w:r w:rsidR="004F6B19" w:rsidRPr="00A636F2">
        <w:rPr>
          <w:rFonts w:ascii="Times New Roman" w:hAnsi="Times New Roman"/>
          <w:bCs/>
          <w:lang w:val="ru-RU"/>
        </w:rPr>
        <w:t xml:space="preserve"> Правительства Волгоградской области от 06.02.2014 №32-п, </w:t>
      </w:r>
      <w:r w:rsidR="004F6B19" w:rsidRPr="00A636F2">
        <w:rPr>
          <w:rFonts w:ascii="Times New Roman" w:hAnsi="Times New Roman"/>
          <w:lang w:val="ru-RU"/>
        </w:rPr>
        <w:t xml:space="preserve">Комитет </w:t>
      </w:r>
      <w:r w:rsidR="002568EA">
        <w:rPr>
          <w:rFonts w:ascii="Times New Roman" w:hAnsi="Times New Roman"/>
          <w:lang w:val="ru-RU"/>
        </w:rPr>
        <w:t xml:space="preserve">является органом государственной власти Волгоградской области, </w:t>
      </w:r>
      <w:r w:rsidR="004F6B19" w:rsidRPr="00A636F2">
        <w:rPr>
          <w:rFonts w:ascii="Times New Roman" w:hAnsi="Times New Roman"/>
          <w:lang w:val="ru-RU"/>
        </w:rPr>
        <w:t>осуществля</w:t>
      </w:r>
      <w:r w:rsidR="002568EA">
        <w:rPr>
          <w:rFonts w:ascii="Times New Roman" w:hAnsi="Times New Roman"/>
          <w:lang w:val="ru-RU"/>
        </w:rPr>
        <w:t>ющим</w:t>
      </w:r>
      <w:r w:rsidR="004F6B19" w:rsidRPr="00A636F2">
        <w:rPr>
          <w:rFonts w:ascii="Times New Roman" w:hAnsi="Times New Roman"/>
          <w:lang w:val="ru-RU"/>
        </w:rPr>
        <w:t xml:space="preserve"> государственное регулирование цен (тарифов, расценок, ставок) на товары (услуги) в соответствии с законодательством РФ, а также контроль за государственной дисциплиной регулируемых цен (тарифов) и соблюдением порядка ценообразования на продукцию (товары, работы, услуги) на территории Волгоградской области.</w:t>
      </w:r>
    </w:p>
    <w:p w14:paraId="1180DA28" w14:textId="77777777" w:rsidR="009652B7" w:rsidRPr="003170CC" w:rsidRDefault="00E75953" w:rsidP="008072BD">
      <w:pPr>
        <w:ind w:firstLine="709"/>
        <w:jc w:val="both"/>
        <w:rPr>
          <w:rFonts w:ascii="Times New Roman" w:hAnsi="Times New Roman"/>
          <w:lang w:val="ru-RU"/>
        </w:rPr>
      </w:pPr>
      <w:r w:rsidRPr="00114996">
        <w:rPr>
          <w:rFonts w:ascii="Times New Roman" w:hAnsi="Times New Roman"/>
          <w:lang w:val="ru-RU"/>
        </w:rPr>
        <w:t xml:space="preserve">Комитет </w:t>
      </w:r>
      <w:r w:rsidRPr="00114996">
        <w:rPr>
          <w:rFonts w:ascii="Times New Roman" w:hAnsi="Times New Roman"/>
          <w:bCs/>
          <w:lang w:val="ru-RU"/>
        </w:rPr>
        <w:t>осуществля</w:t>
      </w:r>
      <w:r w:rsidR="002568EA">
        <w:rPr>
          <w:rFonts w:ascii="Times New Roman" w:hAnsi="Times New Roman"/>
          <w:bCs/>
          <w:lang w:val="ru-RU"/>
        </w:rPr>
        <w:t xml:space="preserve">ет </w:t>
      </w:r>
      <w:r w:rsidRPr="00114996">
        <w:rPr>
          <w:rFonts w:ascii="Times New Roman" w:hAnsi="Times New Roman"/>
          <w:bCs/>
          <w:lang w:val="ru-RU"/>
        </w:rPr>
        <w:t xml:space="preserve">функции и полномочия учредителя </w:t>
      </w:r>
      <w:r w:rsidRPr="00114996">
        <w:rPr>
          <w:rFonts w:ascii="Times New Roman" w:hAnsi="Times New Roman"/>
          <w:lang w:val="ru-RU"/>
        </w:rPr>
        <w:t>подведомственного учреждения - г</w:t>
      </w:r>
      <w:hyperlink r:id="rId8" w:history="1">
        <w:r w:rsidRPr="00114996">
          <w:rPr>
            <w:rStyle w:val="af3"/>
            <w:rFonts w:ascii="Times New Roman" w:hAnsi="Times New Roman"/>
            <w:bCs/>
            <w:color w:val="auto"/>
            <w:u w:val="none"/>
            <w:lang w:val="ru-RU"/>
          </w:rPr>
          <w:t>осударственного казенного учреждения Волгоградской области «Экспертный центр»</w:t>
        </w:r>
      </w:hyperlink>
      <w:r w:rsidRPr="00114996">
        <w:rPr>
          <w:rFonts w:ascii="Times New Roman" w:hAnsi="Times New Roman"/>
          <w:lang w:val="ru-RU"/>
        </w:rPr>
        <w:t xml:space="preserve"> (далее ГКУ</w:t>
      </w:r>
      <w:hyperlink r:id="rId9" w:history="1">
        <w:r w:rsidRPr="00114996">
          <w:rPr>
            <w:rStyle w:val="af3"/>
            <w:rFonts w:ascii="Times New Roman" w:hAnsi="Times New Roman"/>
            <w:bCs/>
            <w:color w:val="auto"/>
            <w:u w:val="none"/>
            <w:lang w:val="ru-RU"/>
          </w:rPr>
          <w:t xml:space="preserve"> «Экспертный центр»</w:t>
        </w:r>
      </w:hyperlink>
      <w:r w:rsidR="00CC6E43" w:rsidRPr="00114996">
        <w:rPr>
          <w:rFonts w:ascii="Times New Roman" w:hAnsi="Times New Roman"/>
          <w:lang w:val="ru-RU"/>
        </w:rPr>
        <w:t>, учреждение</w:t>
      </w:r>
      <w:r w:rsidRPr="00114996">
        <w:rPr>
          <w:rFonts w:ascii="Times New Roman" w:hAnsi="Times New Roman"/>
          <w:lang w:val="ru-RU"/>
        </w:rPr>
        <w:t xml:space="preserve">), созданного  05.03.2020 </w:t>
      </w:r>
      <w:r w:rsidR="00CC6E43" w:rsidRPr="00114996">
        <w:rPr>
          <w:rFonts w:ascii="Times New Roman" w:hAnsi="Times New Roman"/>
          <w:lang w:val="ru-RU"/>
        </w:rPr>
        <w:t xml:space="preserve">в </w:t>
      </w:r>
      <w:r w:rsidR="0023703E" w:rsidRPr="00114996">
        <w:rPr>
          <w:rFonts w:ascii="Times New Roman" w:hAnsi="Times New Roman"/>
          <w:lang w:val="ru-RU"/>
        </w:rPr>
        <w:t>соответствии с постановлением Администрации Волгоградской области от 19.02.2020 №69-п</w:t>
      </w:r>
      <w:r w:rsidR="00D87045" w:rsidRPr="00114996">
        <w:rPr>
          <w:rFonts w:ascii="Times New Roman" w:hAnsi="Times New Roman"/>
          <w:lang w:val="ru-RU"/>
        </w:rPr>
        <w:t xml:space="preserve"> (далее Постановление №69-п)</w:t>
      </w:r>
      <w:r w:rsidR="00995EDD">
        <w:rPr>
          <w:rFonts w:ascii="Times New Roman" w:hAnsi="Times New Roman"/>
          <w:lang w:val="ru-RU"/>
        </w:rPr>
        <w:t xml:space="preserve">, </w:t>
      </w:r>
      <w:r w:rsidR="00D650B6" w:rsidRPr="005A1E06">
        <w:rPr>
          <w:rFonts w:ascii="Times New Roman" w:hAnsi="Times New Roman"/>
          <w:lang w:val="ru-RU"/>
        </w:rPr>
        <w:t xml:space="preserve">которым определены </w:t>
      </w:r>
      <w:r w:rsidR="00995EDD" w:rsidRPr="005A1E06">
        <w:rPr>
          <w:rFonts w:ascii="Times New Roman" w:hAnsi="Times New Roman"/>
          <w:lang w:val="ru-RU"/>
        </w:rPr>
        <w:t>предмет деятельности учреждения – подготовка информационно-аналитических экспертных заключений в сфере государственного регулирования цен на товары (услуги)</w:t>
      </w:r>
      <w:r w:rsidR="00D650B6" w:rsidRPr="005A1E06">
        <w:rPr>
          <w:rFonts w:ascii="Times New Roman" w:hAnsi="Times New Roman"/>
          <w:lang w:val="ru-RU"/>
        </w:rPr>
        <w:t xml:space="preserve"> и</w:t>
      </w:r>
      <w:r w:rsidR="00995EDD" w:rsidRPr="005A1E06">
        <w:rPr>
          <w:rFonts w:ascii="Times New Roman" w:hAnsi="Times New Roman"/>
          <w:lang w:val="ru-RU"/>
        </w:rPr>
        <w:t xml:space="preserve"> цель – создание аналитической базы для оперативного принятия и последующей реализации управленческих решений в сфере государственного регулирования цен на товары (услуги).</w:t>
      </w:r>
    </w:p>
    <w:p w14:paraId="173DF10C" w14:textId="77777777" w:rsidR="00461DDA" w:rsidRPr="00114996" w:rsidRDefault="00461DDA" w:rsidP="00461DDA">
      <w:pPr>
        <w:ind w:firstLine="709"/>
        <w:jc w:val="both"/>
        <w:rPr>
          <w:rFonts w:ascii="Times New Roman" w:hAnsi="Times New Roman"/>
          <w:lang w:val="ru-RU"/>
        </w:rPr>
      </w:pPr>
      <w:r w:rsidRPr="00114996">
        <w:rPr>
          <w:rFonts w:ascii="Times New Roman" w:hAnsi="Times New Roman"/>
          <w:lang w:val="ru-RU"/>
        </w:rPr>
        <w:t>Штатная численность К</w:t>
      </w:r>
      <w:r w:rsidR="00CC6E43" w:rsidRPr="00114996">
        <w:rPr>
          <w:rFonts w:ascii="Times New Roman" w:hAnsi="Times New Roman"/>
          <w:lang w:val="ru-RU"/>
        </w:rPr>
        <w:t>омитета</w:t>
      </w:r>
      <w:r w:rsidRPr="00114996">
        <w:rPr>
          <w:rFonts w:ascii="Times New Roman" w:hAnsi="Times New Roman"/>
          <w:lang w:val="ru-RU"/>
        </w:rPr>
        <w:t xml:space="preserve"> </w:t>
      </w:r>
      <w:r w:rsidR="00D12C39">
        <w:rPr>
          <w:rFonts w:ascii="Times New Roman" w:hAnsi="Times New Roman"/>
          <w:lang w:val="ru-RU"/>
        </w:rPr>
        <w:t xml:space="preserve">на начало 2020 года </w:t>
      </w:r>
      <w:r w:rsidR="008A5168" w:rsidRPr="00114996">
        <w:rPr>
          <w:rFonts w:ascii="Times New Roman" w:hAnsi="Times New Roman"/>
          <w:lang w:val="ru-RU"/>
        </w:rPr>
        <w:t>составлял</w:t>
      </w:r>
      <w:r w:rsidR="008A5168">
        <w:rPr>
          <w:rFonts w:ascii="Times New Roman" w:hAnsi="Times New Roman"/>
          <w:lang w:val="ru-RU"/>
        </w:rPr>
        <w:t xml:space="preserve">а </w:t>
      </w:r>
      <w:r w:rsidR="00D12C39">
        <w:rPr>
          <w:rFonts w:ascii="Times New Roman" w:hAnsi="Times New Roman"/>
          <w:lang w:val="ru-RU"/>
        </w:rPr>
        <w:t>71 ед., на 01.01.2021 -</w:t>
      </w:r>
      <w:r w:rsidRPr="00114996">
        <w:rPr>
          <w:rFonts w:ascii="Times New Roman" w:hAnsi="Times New Roman"/>
          <w:lang w:val="ru-RU"/>
        </w:rPr>
        <w:t xml:space="preserve"> 51 ед</w:t>
      </w:r>
      <w:r w:rsidR="00D12C39">
        <w:rPr>
          <w:rFonts w:ascii="Times New Roman" w:hAnsi="Times New Roman"/>
          <w:lang w:val="ru-RU"/>
        </w:rPr>
        <w:t>.</w:t>
      </w:r>
      <w:r w:rsidRPr="00114996">
        <w:rPr>
          <w:rFonts w:ascii="Times New Roman" w:hAnsi="Times New Roman"/>
          <w:lang w:val="ru-RU"/>
        </w:rPr>
        <w:t xml:space="preserve">, в том числе 1 ед. - государственная должность, 50 ед. - государственные гражданские служащие. Фактическая численность работников </w:t>
      </w:r>
      <w:r w:rsidR="002F3411">
        <w:rPr>
          <w:rFonts w:ascii="Times New Roman" w:hAnsi="Times New Roman"/>
          <w:lang w:val="ru-RU"/>
        </w:rPr>
        <w:t xml:space="preserve">КТР </w:t>
      </w:r>
      <w:r w:rsidRPr="00114996">
        <w:rPr>
          <w:rFonts w:ascii="Times New Roman" w:hAnsi="Times New Roman"/>
          <w:lang w:val="ru-RU"/>
        </w:rPr>
        <w:t>на 01.01.2021 составила 51 человек</w:t>
      </w:r>
      <w:r w:rsidR="00A37D73" w:rsidRPr="00114996">
        <w:rPr>
          <w:rFonts w:ascii="Times New Roman" w:hAnsi="Times New Roman"/>
          <w:lang w:val="ru-RU"/>
        </w:rPr>
        <w:t>.</w:t>
      </w:r>
    </w:p>
    <w:p w14:paraId="3E551BE5" w14:textId="77777777" w:rsidR="00B21E2B" w:rsidRPr="00114996" w:rsidRDefault="00461DDA" w:rsidP="00461DDA">
      <w:pPr>
        <w:ind w:firstLine="709"/>
        <w:jc w:val="both"/>
        <w:rPr>
          <w:rFonts w:ascii="Times New Roman" w:hAnsi="Times New Roman"/>
          <w:b/>
          <w:bCs/>
          <w:i/>
          <w:lang w:val="ru-RU"/>
        </w:rPr>
      </w:pPr>
      <w:r w:rsidRPr="00114996">
        <w:rPr>
          <w:rFonts w:ascii="Times New Roman" w:hAnsi="Times New Roman"/>
          <w:lang w:val="ru-RU"/>
        </w:rPr>
        <w:t xml:space="preserve">Штатная численность ГКУ «Экспертный центр» в соответствии с </w:t>
      </w:r>
      <w:r w:rsidR="00114996" w:rsidRPr="00114996">
        <w:rPr>
          <w:rFonts w:ascii="Times New Roman" w:hAnsi="Times New Roman"/>
          <w:lang w:val="ru-RU"/>
        </w:rPr>
        <w:t>П</w:t>
      </w:r>
      <w:r w:rsidRPr="00114996">
        <w:rPr>
          <w:rFonts w:ascii="Times New Roman" w:hAnsi="Times New Roman"/>
          <w:lang w:val="ru-RU"/>
        </w:rPr>
        <w:t xml:space="preserve">остановлением №69-п составила 29 </w:t>
      </w:r>
      <w:r w:rsidR="00114996" w:rsidRPr="00114996">
        <w:rPr>
          <w:rFonts w:ascii="Times New Roman" w:hAnsi="Times New Roman"/>
          <w:lang w:val="ru-RU"/>
        </w:rPr>
        <w:t>единиц</w:t>
      </w:r>
      <w:r w:rsidR="008A5168">
        <w:rPr>
          <w:rFonts w:ascii="Times New Roman" w:hAnsi="Times New Roman"/>
          <w:lang w:val="ru-RU"/>
        </w:rPr>
        <w:t>, ф</w:t>
      </w:r>
      <w:r w:rsidRPr="00114996">
        <w:rPr>
          <w:rFonts w:ascii="Times New Roman" w:hAnsi="Times New Roman"/>
          <w:lang w:val="ru-RU"/>
        </w:rPr>
        <w:t>актическая численность на 01.01.2021 - 22 человека.</w:t>
      </w:r>
      <w:r w:rsidR="00850558" w:rsidRPr="00114996">
        <w:rPr>
          <w:rFonts w:ascii="Times New Roman" w:hAnsi="Times New Roman"/>
          <w:b/>
          <w:bCs/>
          <w:i/>
          <w:lang w:val="ru-RU"/>
        </w:rPr>
        <w:t xml:space="preserve">   </w:t>
      </w:r>
    </w:p>
    <w:p w14:paraId="69EA7440" w14:textId="77777777" w:rsidR="00F64D68" w:rsidRDefault="00F64D68" w:rsidP="00B21E2B">
      <w:pPr>
        <w:ind w:firstLine="709"/>
        <w:jc w:val="both"/>
        <w:rPr>
          <w:rFonts w:ascii="Times New Roman" w:hAnsi="Times New Roman"/>
          <w:lang w:val="ru-RU"/>
        </w:rPr>
      </w:pPr>
    </w:p>
    <w:p w14:paraId="621C056B" w14:textId="627A9E3A" w:rsidR="00B21E2B" w:rsidRDefault="00B21E2B" w:rsidP="00B21E2B">
      <w:pPr>
        <w:ind w:firstLine="709"/>
        <w:jc w:val="both"/>
        <w:rPr>
          <w:rFonts w:ascii="Times New Roman" w:hAnsi="Times New Roman"/>
          <w:lang w:val="ru-RU"/>
        </w:rPr>
      </w:pPr>
      <w:r w:rsidRPr="00114996">
        <w:rPr>
          <w:rFonts w:ascii="Times New Roman" w:hAnsi="Times New Roman"/>
          <w:lang w:val="ru-RU"/>
        </w:rPr>
        <w:t xml:space="preserve">Сравнительный анализ штатной численности и фонда заработной платы </w:t>
      </w:r>
      <w:r w:rsidR="006B2C96" w:rsidRPr="00114996">
        <w:rPr>
          <w:rFonts w:ascii="Times New Roman" w:hAnsi="Times New Roman"/>
          <w:lang w:val="ru-RU"/>
        </w:rPr>
        <w:t xml:space="preserve">КТР </w:t>
      </w:r>
      <w:r w:rsidRPr="00114996">
        <w:rPr>
          <w:rFonts w:ascii="Times New Roman" w:hAnsi="Times New Roman"/>
          <w:lang w:val="ru-RU"/>
        </w:rPr>
        <w:t xml:space="preserve">и ГКУ </w:t>
      </w:r>
      <w:r w:rsidR="006B2C96" w:rsidRPr="00114996">
        <w:rPr>
          <w:rFonts w:ascii="Times New Roman" w:hAnsi="Times New Roman"/>
          <w:lang w:val="ru-RU"/>
        </w:rPr>
        <w:t xml:space="preserve">«Экспертный центр» </w:t>
      </w:r>
      <w:r w:rsidR="003170CC">
        <w:rPr>
          <w:rFonts w:ascii="Times New Roman" w:hAnsi="Times New Roman"/>
          <w:lang w:val="ru-RU"/>
        </w:rPr>
        <w:t xml:space="preserve">с начислениями </w:t>
      </w:r>
      <w:r w:rsidRPr="00114996">
        <w:rPr>
          <w:rFonts w:ascii="Times New Roman" w:hAnsi="Times New Roman"/>
          <w:lang w:val="ru-RU"/>
        </w:rPr>
        <w:t>за 2020 год с аналогичными показателями</w:t>
      </w:r>
      <w:r w:rsidR="006B2C96" w:rsidRPr="00114996">
        <w:rPr>
          <w:rFonts w:ascii="Times New Roman" w:hAnsi="Times New Roman"/>
          <w:lang w:val="ru-RU"/>
        </w:rPr>
        <w:t xml:space="preserve"> К</w:t>
      </w:r>
      <w:r w:rsidRPr="00114996">
        <w:rPr>
          <w:rFonts w:ascii="Times New Roman" w:hAnsi="Times New Roman"/>
          <w:lang w:val="ru-RU"/>
        </w:rPr>
        <w:t>омитета за 2019 год приведен в таблице 1.</w:t>
      </w:r>
    </w:p>
    <w:p w14:paraId="15151541" w14:textId="64DD0D97" w:rsidR="00F64D68" w:rsidRDefault="00F64D68" w:rsidP="00B21E2B">
      <w:pPr>
        <w:ind w:firstLine="709"/>
        <w:jc w:val="both"/>
        <w:rPr>
          <w:rFonts w:ascii="Times New Roman" w:hAnsi="Times New Roman"/>
          <w:lang w:val="ru-RU"/>
        </w:rPr>
      </w:pPr>
    </w:p>
    <w:p w14:paraId="0F5F55CA" w14:textId="576AEA7E" w:rsidR="00F64D68" w:rsidRDefault="00F64D68" w:rsidP="00B21E2B">
      <w:pPr>
        <w:ind w:firstLine="709"/>
        <w:jc w:val="both"/>
        <w:rPr>
          <w:rFonts w:ascii="Times New Roman" w:hAnsi="Times New Roman"/>
          <w:lang w:val="ru-RU"/>
        </w:rPr>
      </w:pPr>
    </w:p>
    <w:p w14:paraId="3BB2C1E2" w14:textId="53C4DA56" w:rsidR="00F64D68" w:rsidRDefault="00F64D68" w:rsidP="00B21E2B">
      <w:pPr>
        <w:ind w:firstLine="709"/>
        <w:jc w:val="both"/>
        <w:rPr>
          <w:rFonts w:ascii="Times New Roman" w:hAnsi="Times New Roman"/>
          <w:lang w:val="ru-RU"/>
        </w:rPr>
      </w:pPr>
    </w:p>
    <w:p w14:paraId="41F8E9E9" w14:textId="0532733A" w:rsidR="00F64D68" w:rsidRDefault="00F64D68" w:rsidP="00B21E2B">
      <w:pPr>
        <w:ind w:firstLine="709"/>
        <w:jc w:val="both"/>
        <w:rPr>
          <w:rFonts w:ascii="Times New Roman" w:hAnsi="Times New Roman"/>
          <w:lang w:val="ru-RU"/>
        </w:rPr>
      </w:pPr>
    </w:p>
    <w:p w14:paraId="7B7B3AE7" w14:textId="418FB105" w:rsidR="00F64D68" w:rsidRDefault="00F64D68" w:rsidP="00B21E2B">
      <w:pPr>
        <w:ind w:firstLine="709"/>
        <w:jc w:val="both"/>
        <w:rPr>
          <w:rFonts w:ascii="Times New Roman" w:hAnsi="Times New Roman"/>
          <w:lang w:val="ru-RU"/>
        </w:rPr>
      </w:pPr>
    </w:p>
    <w:p w14:paraId="4086E575" w14:textId="121D8EC7" w:rsidR="00F64D68" w:rsidRDefault="00F64D68" w:rsidP="00B21E2B">
      <w:pPr>
        <w:ind w:firstLine="709"/>
        <w:jc w:val="both"/>
        <w:rPr>
          <w:rFonts w:ascii="Times New Roman" w:hAnsi="Times New Roman"/>
          <w:lang w:val="ru-RU"/>
        </w:rPr>
      </w:pPr>
    </w:p>
    <w:p w14:paraId="12FB1088" w14:textId="44B5F9A3" w:rsidR="00F64D68" w:rsidRDefault="00F64D68" w:rsidP="00B21E2B">
      <w:pPr>
        <w:ind w:firstLine="709"/>
        <w:jc w:val="both"/>
        <w:rPr>
          <w:rFonts w:ascii="Times New Roman" w:hAnsi="Times New Roman"/>
          <w:lang w:val="ru-RU"/>
        </w:rPr>
      </w:pPr>
    </w:p>
    <w:p w14:paraId="6808C2EB" w14:textId="18C0EEF8" w:rsidR="00B21E2B" w:rsidRPr="00114996" w:rsidRDefault="00AE245D" w:rsidP="00B21E2B">
      <w:pPr>
        <w:ind w:firstLine="709"/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114996">
        <w:rPr>
          <w:rFonts w:ascii="Times New Roman" w:hAnsi="Times New Roman"/>
          <w:i/>
          <w:sz w:val="22"/>
          <w:szCs w:val="22"/>
        </w:rPr>
        <w:lastRenderedPageBreak/>
        <w:t xml:space="preserve">Таблица </w:t>
      </w:r>
      <w:r w:rsidRPr="00114996">
        <w:rPr>
          <w:rFonts w:ascii="Times New Roman" w:hAnsi="Times New Roman"/>
          <w:i/>
          <w:sz w:val="22"/>
          <w:szCs w:val="22"/>
          <w:lang w:val="ru-RU"/>
        </w:rPr>
        <w:t>1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559"/>
        <w:gridCol w:w="1276"/>
        <w:gridCol w:w="1134"/>
        <w:gridCol w:w="1134"/>
        <w:gridCol w:w="1275"/>
      </w:tblGrid>
      <w:tr w:rsidR="00B21E2B" w:rsidRPr="003C1958" w14:paraId="75170881" w14:textId="77777777" w:rsidTr="003C1958">
        <w:trPr>
          <w:trHeight w:val="45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32AA489" w14:textId="77777777" w:rsidR="00B21E2B" w:rsidRPr="00114996" w:rsidRDefault="00B21E2B" w:rsidP="003C19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органа государствен</w:t>
            </w:r>
            <w:r w:rsidR="006B2C96" w:rsidRPr="0011499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ной власти в 2019 году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5F6FC95" w14:textId="77777777" w:rsidR="00B21E2B" w:rsidRPr="00114996" w:rsidRDefault="00B21E2B" w:rsidP="00B21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>2019 год  (на 01.01.2020)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F448750" w14:textId="77777777" w:rsidR="00B21E2B" w:rsidRPr="00114996" w:rsidRDefault="00B21E2B" w:rsidP="006B2C96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органа государствен</w:t>
            </w:r>
            <w:r w:rsidR="00C614AE" w:rsidRPr="0011499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ной власти (учреждения)                   в 2020 году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3080831" w14:textId="77777777" w:rsidR="00B21E2B" w:rsidRPr="00114996" w:rsidRDefault="00B21E2B" w:rsidP="00B21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>2020 год (на 01.01.2021)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2F0AA7" w14:textId="458C6909" w:rsidR="00B21E2B" w:rsidRPr="00114996" w:rsidRDefault="00B21E2B" w:rsidP="0056507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Изменение штатной численности, чел. </w:t>
            </w:r>
            <w:r w:rsidR="00A705AD" w:rsidRPr="00114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(гр.</w:t>
            </w:r>
            <w:r w:rsidR="00565077" w:rsidRPr="0011499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-гр.</w:t>
            </w:r>
            <w:r w:rsidR="00565077" w:rsidRPr="0011499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hideMark/>
          </w:tcPr>
          <w:p w14:paraId="65B8941D" w14:textId="77777777" w:rsidR="00B21E2B" w:rsidRPr="00114996" w:rsidRDefault="00B21E2B" w:rsidP="005650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Изменение объема </w:t>
            </w:r>
            <w:r w:rsidR="00565077" w:rsidRPr="00114996">
              <w:rPr>
                <w:rFonts w:ascii="Times New Roman" w:hAnsi="Times New Roman"/>
                <w:sz w:val="20"/>
                <w:szCs w:val="20"/>
                <w:lang w:val="ru-RU"/>
              </w:rPr>
              <w:t>расчетного</w:t>
            </w: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фонда </w:t>
            </w:r>
            <w:r w:rsidR="005601E6" w:rsidRPr="00114996">
              <w:rPr>
                <w:rFonts w:ascii="Times New Roman" w:hAnsi="Times New Roman"/>
                <w:sz w:val="20"/>
                <w:szCs w:val="20"/>
                <w:lang w:val="ru-RU"/>
              </w:rPr>
              <w:t>опла</w:t>
            </w:r>
            <w:r w:rsidR="003C195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601E6" w:rsidRPr="00114996">
              <w:rPr>
                <w:rFonts w:ascii="Times New Roman" w:hAnsi="Times New Roman"/>
                <w:sz w:val="20"/>
                <w:szCs w:val="20"/>
                <w:lang w:val="ru-RU"/>
              </w:rPr>
              <w:t>ты труда</w:t>
            </w: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, тыс.руб.  (гр.</w:t>
            </w:r>
            <w:r w:rsidR="00565077" w:rsidRPr="0011499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-гр.</w:t>
            </w:r>
            <w:r w:rsidR="00565077" w:rsidRPr="0011499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B21E2B" w:rsidRPr="00E70C53" w14:paraId="08E2EE02" w14:textId="77777777" w:rsidTr="003C1958">
        <w:trPr>
          <w:trHeight w:val="1112"/>
        </w:trPr>
        <w:tc>
          <w:tcPr>
            <w:tcW w:w="1276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E3341" w14:textId="77777777" w:rsidR="00B21E2B" w:rsidRPr="00114996" w:rsidRDefault="00B21E2B" w:rsidP="00B21E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F0F7CB" w14:textId="7D35C7A0" w:rsidR="00B21E2B" w:rsidRPr="00114996" w:rsidRDefault="00B21E2B" w:rsidP="006B2C96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Штатная численность, чел.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EDC8C" w14:textId="77777777" w:rsidR="00565077" w:rsidRPr="00114996" w:rsidRDefault="00565077" w:rsidP="005650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Расчетный ф</w:t>
            </w:r>
            <w:r w:rsidR="00B21E2B" w:rsidRPr="00114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онд </w:t>
            </w: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оплаты труда</w:t>
            </w:r>
            <w:r w:rsidR="00A705AD" w:rsidRPr="00114996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14:paraId="353FAA5F" w14:textId="77777777" w:rsidR="00B21E2B" w:rsidRPr="00114996" w:rsidRDefault="00B21E2B" w:rsidP="005650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тыс. руб.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7CB3C" w14:textId="77777777" w:rsidR="00B21E2B" w:rsidRPr="00114996" w:rsidRDefault="00B21E2B" w:rsidP="00B21E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BCBD00" w14:textId="2B8305B4" w:rsidR="00B21E2B" w:rsidRPr="00114996" w:rsidRDefault="00B21E2B" w:rsidP="006B2C96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>Штатная</w:t>
            </w:r>
            <w:r w:rsidR="007869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</w:t>
            </w:r>
            <w:r w:rsidRPr="00114996">
              <w:rPr>
                <w:rFonts w:ascii="Times New Roman" w:hAnsi="Times New Roman"/>
                <w:sz w:val="20"/>
                <w:szCs w:val="20"/>
              </w:rPr>
              <w:t xml:space="preserve">исленность, 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B7AAD" w14:textId="77777777" w:rsidR="00565077" w:rsidRPr="00114996" w:rsidRDefault="00565077" w:rsidP="00565077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Расчетный ф</w:t>
            </w:r>
            <w:r w:rsidR="00B21E2B" w:rsidRPr="00114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онд </w:t>
            </w: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оплаты труда</w:t>
            </w:r>
            <w:r w:rsidR="00A705AD" w:rsidRPr="00114996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14:paraId="408DF1E0" w14:textId="77777777" w:rsidR="00B21E2B" w:rsidRPr="00114996" w:rsidRDefault="00B21E2B" w:rsidP="00565077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тыс. руб.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84EC9A" w14:textId="77777777" w:rsidR="00B21E2B" w:rsidRPr="00114996" w:rsidRDefault="00B21E2B" w:rsidP="00B21E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26759BB3" w14:textId="77777777" w:rsidR="00B21E2B" w:rsidRPr="00114996" w:rsidRDefault="00B21E2B" w:rsidP="00B21E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21E2B" w:rsidRPr="00114996" w14:paraId="56B97666" w14:textId="77777777" w:rsidTr="003C1958">
        <w:trPr>
          <w:trHeight w:val="21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D40" w14:textId="77777777" w:rsidR="00B21E2B" w:rsidRPr="00114996" w:rsidRDefault="00B21E2B" w:rsidP="00B21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AE67" w14:textId="77777777" w:rsidR="00B21E2B" w:rsidRPr="00114996" w:rsidRDefault="00B21E2B" w:rsidP="00B21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5A16C" w14:textId="77777777" w:rsidR="00B21E2B" w:rsidRPr="00114996" w:rsidRDefault="00B21E2B" w:rsidP="00B21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9DC1" w14:textId="77777777" w:rsidR="00B21E2B" w:rsidRPr="00114996" w:rsidRDefault="00B21E2B" w:rsidP="00B21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AFC9" w14:textId="77777777" w:rsidR="00B21E2B" w:rsidRPr="00114996" w:rsidRDefault="00B21E2B" w:rsidP="00B21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6E1D" w14:textId="77777777" w:rsidR="00B21E2B" w:rsidRPr="00114996" w:rsidRDefault="00B21E2B" w:rsidP="00B21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1BEF" w14:textId="77777777" w:rsidR="00B21E2B" w:rsidRPr="00114996" w:rsidRDefault="00B21E2B" w:rsidP="00B21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A479203" w14:textId="77777777" w:rsidR="00B21E2B" w:rsidRPr="00114996" w:rsidRDefault="00B21E2B" w:rsidP="00B21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21E2B" w:rsidRPr="00114996" w14:paraId="53908E8F" w14:textId="77777777" w:rsidTr="00DE67B9">
        <w:trPr>
          <w:trHeight w:val="512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03D1" w14:textId="77777777" w:rsidR="00B21E2B" w:rsidRPr="00114996" w:rsidRDefault="000E00A6" w:rsidP="000E00A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КТР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3DD2" w14:textId="5BB788DE" w:rsidR="00B21E2B" w:rsidRPr="00114996" w:rsidRDefault="00AB527F" w:rsidP="00AB52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736A" w14:textId="77777777" w:rsidR="00B21E2B" w:rsidRPr="00114996" w:rsidRDefault="00A705AD" w:rsidP="00AB52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56277,4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5FFC" w14:textId="77777777" w:rsidR="00B21E2B" w:rsidRPr="00114996" w:rsidRDefault="000E00A6" w:rsidP="000E00A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КТР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FC0D" w14:textId="01719345" w:rsidR="00B21E2B" w:rsidRPr="00114996" w:rsidRDefault="00B21E2B" w:rsidP="00AB52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265B" w14:textId="77777777" w:rsidR="00B21E2B" w:rsidRPr="00114996" w:rsidRDefault="00A705AD" w:rsidP="00AB52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49445,9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4A1" w14:textId="55EA3EFE" w:rsidR="00B21E2B" w:rsidRPr="00114996" w:rsidRDefault="00B21E2B" w:rsidP="00F2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2227C" w:rsidRPr="0011499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D1A4331" w14:textId="77777777" w:rsidR="00B21E2B" w:rsidRPr="00114996" w:rsidRDefault="00A705AD" w:rsidP="00F222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-6831,5</w:t>
            </w:r>
          </w:p>
        </w:tc>
      </w:tr>
      <w:tr w:rsidR="00B21E2B" w:rsidRPr="00114996" w14:paraId="3BB5662F" w14:textId="77777777" w:rsidTr="003C1958">
        <w:trPr>
          <w:trHeight w:val="55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E308" w14:textId="77777777" w:rsidR="00B21E2B" w:rsidRPr="00114996" w:rsidRDefault="00B21E2B" w:rsidP="00B21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9700" w14:textId="77777777" w:rsidR="00B21E2B" w:rsidRPr="00114996" w:rsidRDefault="00B21E2B" w:rsidP="00B21E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> </w:t>
            </w:r>
            <w:r w:rsidR="00C614AE" w:rsidRPr="00114996">
              <w:rPr>
                <w:rFonts w:ascii="Times New Roman" w:hAnsi="Times New Roman"/>
                <w:sz w:val="20"/>
                <w:szCs w:val="20"/>
                <w:lang w:val="ru-RU"/>
              </w:rPr>
              <w:t>__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C6D3" w14:textId="77777777" w:rsidR="00B21E2B" w:rsidRPr="00114996" w:rsidRDefault="00A705AD" w:rsidP="00B21E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__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4EBD" w14:textId="77777777" w:rsidR="00B21E2B" w:rsidRPr="00114996" w:rsidRDefault="006B2C96" w:rsidP="003C1958">
            <w:pPr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ГКУ Э</w:t>
            </w:r>
            <w:r w:rsidR="0088020F" w:rsidRPr="00114996">
              <w:rPr>
                <w:rFonts w:ascii="Times New Roman" w:hAnsi="Times New Roman"/>
                <w:sz w:val="20"/>
                <w:szCs w:val="20"/>
                <w:lang w:val="ru-RU"/>
              </w:rPr>
              <w:t>кспертный</w:t>
            </w: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центр»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8A71" w14:textId="2179118C" w:rsidR="00B21E2B" w:rsidRPr="00114996" w:rsidRDefault="00B21E2B" w:rsidP="00AB52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>2</w:t>
            </w:r>
            <w:r w:rsidR="00AB527F" w:rsidRPr="00114996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0EC76" w14:textId="77777777" w:rsidR="00B21E2B" w:rsidRPr="00114996" w:rsidRDefault="00A705AD" w:rsidP="00F222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12038,9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5BCA" w14:textId="001B2345" w:rsidR="00B21E2B" w:rsidRPr="00114996" w:rsidRDefault="00B21E2B" w:rsidP="00F2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996">
              <w:rPr>
                <w:rFonts w:ascii="Times New Roman" w:hAnsi="Times New Roman"/>
                <w:sz w:val="20"/>
                <w:szCs w:val="20"/>
              </w:rPr>
              <w:t>+</w:t>
            </w:r>
            <w:r w:rsidR="00F2227C" w:rsidRPr="00114996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E9FDAB" w14:textId="65F95F58" w:rsidR="00B21E2B" w:rsidRPr="00114996" w:rsidRDefault="00A705AD" w:rsidP="00F222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+120</w:t>
            </w:r>
            <w:r w:rsidR="00E70C5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114996">
              <w:rPr>
                <w:rFonts w:ascii="Times New Roman" w:hAnsi="Times New Roman"/>
                <w:sz w:val="20"/>
                <w:szCs w:val="20"/>
                <w:lang w:val="ru-RU"/>
              </w:rPr>
              <w:t>8,9</w:t>
            </w:r>
          </w:p>
        </w:tc>
      </w:tr>
      <w:tr w:rsidR="00B21E2B" w:rsidRPr="00114996" w14:paraId="4D71EF1B" w14:textId="77777777" w:rsidTr="003C1958">
        <w:trPr>
          <w:trHeight w:val="385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E37B" w14:textId="24B6DC1C" w:rsidR="00B21E2B" w:rsidRPr="00114996" w:rsidRDefault="00B21E2B" w:rsidP="00B21E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A752" w14:textId="2207EA5E" w:rsidR="00B21E2B" w:rsidRPr="00114996" w:rsidRDefault="00AB527F" w:rsidP="00B21E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99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71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D31F" w14:textId="77777777" w:rsidR="00B21E2B" w:rsidRPr="00114996" w:rsidRDefault="00A705AD" w:rsidP="00B21E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56277,4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4066" w14:textId="77777777" w:rsidR="00B21E2B" w:rsidRPr="00114996" w:rsidRDefault="00B21E2B" w:rsidP="00B21E2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9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77B9" w14:textId="55048618" w:rsidR="00B21E2B" w:rsidRPr="00114996" w:rsidRDefault="00AB527F" w:rsidP="00AB527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D8E8" w14:textId="77777777" w:rsidR="00B21E2B" w:rsidRPr="00114996" w:rsidRDefault="00A705AD" w:rsidP="00B21E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61484,8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4148" w14:textId="7E36A141" w:rsidR="00B21E2B" w:rsidRPr="00114996" w:rsidRDefault="00F2227C" w:rsidP="00B21E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+9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BE2A84" w14:textId="7DED0DF3" w:rsidR="0088020F" w:rsidRPr="00114996" w:rsidRDefault="00A705AD" w:rsidP="00B21E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1499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+5</w:t>
            </w:r>
            <w:r w:rsidR="00E70C5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207</w:t>
            </w:r>
            <w:r w:rsidRPr="0011499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,4</w:t>
            </w:r>
          </w:p>
        </w:tc>
      </w:tr>
    </w:tbl>
    <w:p w14:paraId="26EEC0E4" w14:textId="77777777" w:rsidR="002F2535" w:rsidRDefault="002F2535" w:rsidP="000E19BC">
      <w:pPr>
        <w:ind w:firstLine="680"/>
        <w:jc w:val="both"/>
        <w:rPr>
          <w:rFonts w:ascii="Times New Roman" w:hAnsi="Times New Roman"/>
          <w:lang w:val="ru-RU"/>
        </w:rPr>
      </w:pPr>
    </w:p>
    <w:p w14:paraId="306ABBC1" w14:textId="0E266394" w:rsidR="000E19BC" w:rsidRPr="000E19BC" w:rsidRDefault="00B21E2B" w:rsidP="000E19BC">
      <w:pPr>
        <w:ind w:firstLine="680"/>
        <w:jc w:val="both"/>
        <w:rPr>
          <w:rFonts w:ascii="Times New Roman" w:hAnsi="Times New Roman"/>
          <w:bCs/>
          <w:lang w:val="ru-RU"/>
        </w:rPr>
      </w:pPr>
      <w:r w:rsidRPr="00114996">
        <w:rPr>
          <w:rFonts w:ascii="Times New Roman" w:hAnsi="Times New Roman"/>
          <w:lang w:val="ru-RU"/>
        </w:rPr>
        <w:t>Таким образом, в связи с созданием в 2020 году ГКУ</w:t>
      </w:r>
      <w:r w:rsidR="0088020F" w:rsidRPr="00114996">
        <w:rPr>
          <w:rFonts w:ascii="Times New Roman" w:hAnsi="Times New Roman"/>
          <w:lang w:val="ru-RU"/>
        </w:rPr>
        <w:t xml:space="preserve"> «Экспертный центр»</w:t>
      </w:r>
      <w:r w:rsidRPr="00114996">
        <w:rPr>
          <w:rFonts w:ascii="Times New Roman" w:hAnsi="Times New Roman"/>
          <w:lang w:val="ru-RU"/>
        </w:rPr>
        <w:t xml:space="preserve"> </w:t>
      </w:r>
      <w:r w:rsidR="00565077" w:rsidRPr="00114996">
        <w:rPr>
          <w:rFonts w:ascii="Times New Roman" w:hAnsi="Times New Roman"/>
          <w:lang w:val="ru-RU"/>
        </w:rPr>
        <w:t xml:space="preserve">в целом </w:t>
      </w:r>
      <w:r w:rsidRPr="00114996">
        <w:rPr>
          <w:rFonts w:ascii="Times New Roman" w:hAnsi="Times New Roman"/>
          <w:lang w:val="ru-RU"/>
        </w:rPr>
        <w:t xml:space="preserve">штатная численность </w:t>
      </w:r>
      <w:r w:rsidR="00565077" w:rsidRPr="00114996">
        <w:rPr>
          <w:rFonts w:ascii="Times New Roman" w:hAnsi="Times New Roman"/>
          <w:lang w:val="ru-RU"/>
        </w:rPr>
        <w:t xml:space="preserve">КТР и ГКУ «Экспертный центр» </w:t>
      </w:r>
      <w:r w:rsidRPr="00114996">
        <w:rPr>
          <w:rFonts w:ascii="Times New Roman" w:hAnsi="Times New Roman"/>
          <w:lang w:val="ru-RU"/>
        </w:rPr>
        <w:t xml:space="preserve">увеличилась на </w:t>
      </w:r>
      <w:r w:rsidR="0088020F" w:rsidRPr="00114996">
        <w:rPr>
          <w:rFonts w:ascii="Times New Roman" w:hAnsi="Times New Roman"/>
          <w:lang w:val="ru-RU"/>
        </w:rPr>
        <w:t>9</w:t>
      </w:r>
      <w:r w:rsidRPr="00114996">
        <w:rPr>
          <w:rFonts w:ascii="Times New Roman" w:hAnsi="Times New Roman"/>
          <w:lang w:val="ru-RU"/>
        </w:rPr>
        <w:t xml:space="preserve"> чел</w:t>
      </w:r>
      <w:r w:rsidR="00F64D68">
        <w:rPr>
          <w:rFonts w:ascii="Times New Roman" w:hAnsi="Times New Roman"/>
          <w:lang w:val="ru-RU"/>
        </w:rPr>
        <w:t>овек.</w:t>
      </w:r>
      <w:r w:rsidRPr="00114996">
        <w:rPr>
          <w:rFonts w:ascii="Times New Roman" w:hAnsi="Times New Roman"/>
          <w:lang w:val="ru-RU"/>
        </w:rPr>
        <w:t xml:space="preserve"> </w:t>
      </w:r>
      <w:r w:rsidR="00A9592E">
        <w:rPr>
          <w:rFonts w:ascii="Times New Roman" w:hAnsi="Times New Roman"/>
          <w:lang w:val="ru-RU"/>
        </w:rPr>
        <w:t>В результате</w:t>
      </w:r>
      <w:r w:rsidR="003C1958">
        <w:rPr>
          <w:rFonts w:ascii="Times New Roman" w:hAnsi="Times New Roman"/>
          <w:lang w:val="ru-RU"/>
        </w:rPr>
        <w:t xml:space="preserve"> у</w:t>
      </w:r>
      <w:r w:rsidRPr="000D7D31">
        <w:rPr>
          <w:rFonts w:ascii="Times New Roman" w:hAnsi="Times New Roman"/>
          <w:lang w:val="ru-RU"/>
        </w:rPr>
        <w:t xml:space="preserve">величение объема </w:t>
      </w:r>
      <w:r w:rsidR="00565077" w:rsidRPr="000D7D31">
        <w:rPr>
          <w:rFonts w:ascii="Times New Roman" w:hAnsi="Times New Roman"/>
          <w:lang w:val="ru-RU"/>
        </w:rPr>
        <w:t xml:space="preserve">расчетного </w:t>
      </w:r>
      <w:r w:rsidRPr="000D7D31">
        <w:rPr>
          <w:rFonts w:ascii="Times New Roman" w:hAnsi="Times New Roman"/>
          <w:lang w:val="ru-RU"/>
        </w:rPr>
        <w:t xml:space="preserve">фонда </w:t>
      </w:r>
      <w:r w:rsidR="005601E6" w:rsidRPr="000D7D31">
        <w:rPr>
          <w:rFonts w:ascii="Times New Roman" w:hAnsi="Times New Roman"/>
          <w:lang w:val="ru-RU"/>
        </w:rPr>
        <w:t xml:space="preserve">оплаты труда </w:t>
      </w:r>
      <w:r w:rsidR="003C1958">
        <w:rPr>
          <w:rFonts w:ascii="Times New Roman" w:hAnsi="Times New Roman"/>
          <w:lang w:val="ru-RU"/>
        </w:rPr>
        <w:t xml:space="preserve">с начислениями </w:t>
      </w:r>
      <w:r w:rsidRPr="000D7D31">
        <w:rPr>
          <w:rFonts w:ascii="Times New Roman" w:hAnsi="Times New Roman"/>
          <w:lang w:val="ru-RU"/>
        </w:rPr>
        <w:t xml:space="preserve">составило </w:t>
      </w:r>
      <w:r w:rsidR="00A705AD" w:rsidRPr="000D7D31">
        <w:rPr>
          <w:rFonts w:ascii="Times New Roman" w:hAnsi="Times New Roman"/>
          <w:lang w:val="ru-RU"/>
        </w:rPr>
        <w:t>5</w:t>
      </w:r>
      <w:r w:rsidR="00E70C53">
        <w:rPr>
          <w:rFonts w:ascii="Times New Roman" w:hAnsi="Times New Roman"/>
          <w:lang w:val="ru-RU"/>
        </w:rPr>
        <w:t>20</w:t>
      </w:r>
      <w:r w:rsidR="00A705AD" w:rsidRPr="000D7D31">
        <w:rPr>
          <w:rFonts w:ascii="Times New Roman" w:hAnsi="Times New Roman"/>
          <w:lang w:val="ru-RU"/>
        </w:rPr>
        <w:t xml:space="preserve">7,4 </w:t>
      </w:r>
      <w:r w:rsidRPr="000D7D31">
        <w:rPr>
          <w:rFonts w:ascii="Times New Roman" w:hAnsi="Times New Roman"/>
          <w:lang w:val="ru-RU"/>
        </w:rPr>
        <w:t>тыс. руб.</w:t>
      </w:r>
      <w:r w:rsidR="008A5168">
        <w:rPr>
          <w:rFonts w:ascii="Times New Roman" w:hAnsi="Times New Roman"/>
          <w:lang w:val="ru-RU"/>
        </w:rPr>
        <w:t>,</w:t>
      </w:r>
      <w:r w:rsidR="00565077" w:rsidRPr="000D7D31">
        <w:rPr>
          <w:rFonts w:ascii="Times New Roman" w:hAnsi="Times New Roman"/>
          <w:lang w:val="ru-RU"/>
        </w:rPr>
        <w:t xml:space="preserve"> или 9,2 процента.</w:t>
      </w:r>
      <w:r w:rsidR="00A705AD" w:rsidRPr="003365F3">
        <w:rPr>
          <w:rFonts w:ascii="Times New Roman" w:hAnsi="Times New Roman"/>
          <w:lang w:val="ru-RU"/>
        </w:rPr>
        <w:t xml:space="preserve"> </w:t>
      </w:r>
    </w:p>
    <w:p w14:paraId="09B19530" w14:textId="77777777" w:rsidR="005F3F47" w:rsidRPr="000E19BC" w:rsidRDefault="00C9452F" w:rsidP="008072BD">
      <w:pPr>
        <w:ind w:left="-1276" w:firstLine="709"/>
        <w:jc w:val="center"/>
        <w:rPr>
          <w:rFonts w:ascii="Times New Roman" w:hAnsi="Times New Roman"/>
          <w:b/>
          <w:bCs/>
          <w:i/>
          <w:lang w:val="ru-RU"/>
        </w:rPr>
      </w:pPr>
      <w:r w:rsidRPr="000E19BC">
        <w:rPr>
          <w:rFonts w:ascii="Times New Roman" w:hAnsi="Times New Roman"/>
          <w:b/>
          <w:bCs/>
          <w:i/>
          <w:lang w:val="ru-RU"/>
        </w:rPr>
        <w:t xml:space="preserve">     </w:t>
      </w:r>
    </w:p>
    <w:p w14:paraId="7CB4FD25" w14:textId="77777777" w:rsidR="00850558" w:rsidRPr="001E63E3" w:rsidRDefault="00C9452F" w:rsidP="008072BD">
      <w:pPr>
        <w:ind w:left="-1276" w:firstLine="709"/>
        <w:jc w:val="center"/>
        <w:rPr>
          <w:rFonts w:ascii="Times New Roman" w:hAnsi="Times New Roman"/>
          <w:highlight w:val="cyan"/>
          <w:lang w:val="ru-RU"/>
        </w:rPr>
      </w:pPr>
      <w:r w:rsidRPr="001E63E3">
        <w:rPr>
          <w:rFonts w:ascii="Times New Roman" w:hAnsi="Times New Roman"/>
          <w:b/>
          <w:bCs/>
          <w:lang w:val="ru-RU"/>
        </w:rPr>
        <w:t xml:space="preserve">       </w:t>
      </w:r>
      <w:r w:rsidR="003365F3" w:rsidRPr="001E63E3">
        <w:rPr>
          <w:rFonts w:ascii="Times New Roman" w:hAnsi="Times New Roman"/>
          <w:b/>
          <w:bCs/>
          <w:lang w:val="ru-RU"/>
        </w:rPr>
        <w:t xml:space="preserve">Проверка </w:t>
      </w:r>
      <w:r w:rsidR="00850558" w:rsidRPr="001E63E3">
        <w:rPr>
          <w:rFonts w:ascii="Times New Roman" w:hAnsi="Times New Roman"/>
          <w:b/>
          <w:bCs/>
          <w:lang w:val="ru-RU"/>
        </w:rPr>
        <w:t>бюджетн</w:t>
      </w:r>
      <w:r w:rsidR="003365F3" w:rsidRPr="001E63E3">
        <w:rPr>
          <w:rFonts w:ascii="Times New Roman" w:hAnsi="Times New Roman"/>
          <w:b/>
          <w:bCs/>
          <w:lang w:val="ru-RU"/>
        </w:rPr>
        <w:t>ой</w:t>
      </w:r>
      <w:r w:rsidR="00850558" w:rsidRPr="001E63E3">
        <w:rPr>
          <w:rFonts w:ascii="Times New Roman" w:hAnsi="Times New Roman"/>
          <w:b/>
          <w:bCs/>
          <w:lang w:val="ru-RU"/>
        </w:rPr>
        <w:t xml:space="preserve"> отчетност</w:t>
      </w:r>
      <w:r w:rsidR="003365F3" w:rsidRPr="001E63E3">
        <w:rPr>
          <w:rFonts w:ascii="Times New Roman" w:hAnsi="Times New Roman"/>
          <w:b/>
          <w:bCs/>
          <w:lang w:val="ru-RU"/>
        </w:rPr>
        <w:t>и</w:t>
      </w:r>
    </w:p>
    <w:p w14:paraId="466062D0" w14:textId="77777777" w:rsidR="003365F3" w:rsidRPr="003365F3" w:rsidRDefault="003365F3" w:rsidP="003365F3">
      <w:pPr>
        <w:ind w:firstLine="680"/>
        <w:jc w:val="both"/>
        <w:rPr>
          <w:rFonts w:ascii="Times New Roman" w:hAnsi="Times New Roman"/>
          <w:lang w:val="ru-RU"/>
        </w:rPr>
      </w:pPr>
      <w:r w:rsidRPr="003365F3">
        <w:rPr>
          <w:rFonts w:ascii="Times New Roman" w:hAnsi="Times New Roman"/>
          <w:lang w:val="ru-RU"/>
        </w:rPr>
        <w:t>В соответствии с соглашением от 29.05.2015 №3 п</w:t>
      </w:r>
      <w:r w:rsidR="00804EFB" w:rsidRPr="003365F3">
        <w:rPr>
          <w:rFonts w:ascii="Times New Roman" w:hAnsi="Times New Roman"/>
          <w:lang w:val="ru-RU"/>
        </w:rPr>
        <w:t xml:space="preserve">олномочия по ведению </w:t>
      </w:r>
      <w:r w:rsidRPr="003365F3">
        <w:rPr>
          <w:rFonts w:ascii="Times New Roman" w:hAnsi="Times New Roman"/>
          <w:lang w:val="ru-RU"/>
        </w:rPr>
        <w:t>бюджетного (</w:t>
      </w:r>
      <w:r w:rsidR="00804EFB" w:rsidRPr="003365F3">
        <w:rPr>
          <w:rFonts w:ascii="Times New Roman" w:hAnsi="Times New Roman"/>
          <w:lang w:val="ru-RU"/>
        </w:rPr>
        <w:t>бухгалтерского</w:t>
      </w:r>
      <w:r w:rsidRPr="003365F3">
        <w:rPr>
          <w:rFonts w:ascii="Times New Roman" w:hAnsi="Times New Roman"/>
          <w:lang w:val="ru-RU"/>
        </w:rPr>
        <w:t>)</w:t>
      </w:r>
      <w:r w:rsidR="00804EFB" w:rsidRPr="003365F3">
        <w:rPr>
          <w:rFonts w:ascii="Times New Roman" w:hAnsi="Times New Roman"/>
          <w:lang w:val="ru-RU"/>
        </w:rPr>
        <w:t xml:space="preserve"> учета</w:t>
      </w:r>
      <w:r w:rsidRPr="003365F3">
        <w:rPr>
          <w:rFonts w:ascii="Times New Roman" w:hAnsi="Times New Roman"/>
          <w:lang w:val="ru-RU"/>
        </w:rPr>
        <w:t>, составлению бюджетной (бухгалтерской), налоговой отчетности, отчетности в государственные внебюджетные фонды Комитетом переданы государственному казенному учреждению Волгоградской области «Центр бюджетного учета и отчетности».</w:t>
      </w:r>
    </w:p>
    <w:p w14:paraId="7ABB8E77" w14:textId="77777777" w:rsidR="00F3106D" w:rsidRPr="003365F3" w:rsidRDefault="00F3106D" w:rsidP="008072BD">
      <w:pPr>
        <w:ind w:firstLine="709"/>
        <w:jc w:val="both"/>
        <w:rPr>
          <w:rFonts w:ascii="Times New Roman" w:hAnsi="Times New Roman"/>
          <w:lang w:val="ru-RU"/>
        </w:rPr>
      </w:pPr>
      <w:r w:rsidRPr="003365F3">
        <w:rPr>
          <w:rFonts w:ascii="Times New Roman" w:hAnsi="Times New Roman"/>
          <w:lang w:val="ru-RU"/>
        </w:rPr>
        <w:t xml:space="preserve">Сводная бюджетная </w:t>
      </w:r>
      <w:r w:rsidRPr="003365F3">
        <w:rPr>
          <w:rFonts w:ascii="Times New Roman" w:hAnsi="Times New Roman"/>
          <w:bCs/>
          <w:lang w:val="ru-RU"/>
        </w:rPr>
        <w:t xml:space="preserve">отчетность Комитета за 2020 год представлена к </w:t>
      </w:r>
      <w:r w:rsidRPr="003365F3">
        <w:rPr>
          <w:rFonts w:ascii="Times New Roman" w:hAnsi="Times New Roman"/>
          <w:lang w:val="ru-RU"/>
        </w:rPr>
        <w:t>проверке в составе, определенном ст. 264.1 БК РФ и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</w:t>
      </w:r>
      <w:r w:rsidRPr="003365F3">
        <w:rPr>
          <w:rFonts w:ascii="Times New Roman" w:hAnsi="Times New Roman"/>
        </w:rPr>
        <w:t> </w:t>
      </w:r>
      <w:r w:rsidRPr="003365F3">
        <w:rPr>
          <w:rFonts w:ascii="Times New Roman" w:hAnsi="Times New Roman"/>
          <w:lang w:val="ru-RU"/>
        </w:rPr>
        <w:t xml:space="preserve">191н. </w:t>
      </w:r>
    </w:p>
    <w:p w14:paraId="08556152" w14:textId="77777777" w:rsidR="008E51E9" w:rsidRPr="003365F3" w:rsidRDefault="008E51E9" w:rsidP="008E51E9">
      <w:pPr>
        <w:ind w:firstLine="709"/>
        <w:jc w:val="both"/>
        <w:rPr>
          <w:rFonts w:ascii="Times New Roman" w:hAnsi="Times New Roman"/>
          <w:lang w:val="ru-RU"/>
        </w:rPr>
      </w:pPr>
      <w:r w:rsidRPr="003365F3">
        <w:rPr>
          <w:rFonts w:ascii="Times New Roman" w:hAnsi="Times New Roman"/>
          <w:lang w:val="ru-RU"/>
        </w:rPr>
        <w:t>П</w:t>
      </w:r>
      <w:r w:rsidR="003365F3" w:rsidRPr="003365F3">
        <w:rPr>
          <w:rFonts w:ascii="Times New Roman" w:hAnsi="Times New Roman"/>
          <w:lang w:val="ru-RU"/>
        </w:rPr>
        <w:t xml:space="preserve">ри проверке </w:t>
      </w:r>
      <w:r w:rsidRPr="003365F3">
        <w:rPr>
          <w:rFonts w:ascii="Times New Roman" w:hAnsi="Times New Roman"/>
          <w:lang w:val="ru-RU"/>
        </w:rPr>
        <w:t xml:space="preserve">достоверности бюджетной отчетности </w:t>
      </w:r>
      <w:r w:rsidR="003365F3" w:rsidRPr="003365F3">
        <w:rPr>
          <w:rFonts w:ascii="Times New Roman" w:hAnsi="Times New Roman"/>
          <w:lang w:val="ru-RU"/>
        </w:rPr>
        <w:t>КТР нарушений не установлено.</w:t>
      </w:r>
    </w:p>
    <w:p w14:paraId="4E834474" w14:textId="77777777" w:rsidR="005E4E5D" w:rsidRPr="003365F3" w:rsidRDefault="005E4E5D" w:rsidP="008072BD">
      <w:pPr>
        <w:ind w:firstLine="709"/>
        <w:jc w:val="center"/>
        <w:rPr>
          <w:rFonts w:ascii="Times New Roman" w:hAnsi="Times New Roman"/>
          <w:b/>
          <w:bCs/>
          <w:lang w:val="ru-RU"/>
        </w:rPr>
      </w:pPr>
    </w:p>
    <w:p w14:paraId="1CE602CA" w14:textId="77777777" w:rsidR="003F5E80" w:rsidRPr="003365F3" w:rsidRDefault="003F5E80" w:rsidP="008072BD">
      <w:pPr>
        <w:ind w:firstLine="709"/>
        <w:jc w:val="center"/>
        <w:rPr>
          <w:rFonts w:ascii="Times New Roman" w:hAnsi="Times New Roman"/>
          <w:b/>
          <w:bCs/>
          <w:i/>
          <w:highlight w:val="green"/>
          <w:lang w:val="ru-RU"/>
        </w:rPr>
      </w:pPr>
      <w:r w:rsidRPr="003365F3">
        <w:rPr>
          <w:rFonts w:ascii="Times New Roman" w:hAnsi="Times New Roman"/>
          <w:b/>
          <w:bCs/>
          <w:lang w:val="ru-RU"/>
        </w:rPr>
        <w:t>Администрирование доходов</w:t>
      </w:r>
    </w:p>
    <w:p w14:paraId="3F05C165" w14:textId="77777777" w:rsidR="003F5E80" w:rsidRPr="00524473" w:rsidRDefault="003F5E80" w:rsidP="008072B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highlight w:val="green"/>
          <w:lang w:val="ru-RU" w:bidi="ar-SA"/>
        </w:rPr>
      </w:pPr>
      <w:r w:rsidRPr="00524473">
        <w:rPr>
          <w:rFonts w:ascii="Times New Roman" w:hAnsi="Times New Roman"/>
          <w:lang w:val="ru-RU"/>
        </w:rPr>
        <w:t>Согласно Приложению 5 к Закону об областном бюджете на 20</w:t>
      </w:r>
      <w:r w:rsidR="00184FBE" w:rsidRPr="00524473">
        <w:rPr>
          <w:rFonts w:ascii="Times New Roman" w:hAnsi="Times New Roman"/>
          <w:lang w:val="ru-RU"/>
        </w:rPr>
        <w:t>20</w:t>
      </w:r>
      <w:r w:rsidRPr="00524473">
        <w:rPr>
          <w:rFonts w:ascii="Times New Roman" w:hAnsi="Times New Roman"/>
          <w:lang w:val="ru-RU"/>
        </w:rPr>
        <w:t xml:space="preserve"> год КТР включён в Перечень главных администраторов доходов областного бюджета – органов государственной власти Волгоградской области </w:t>
      </w:r>
      <w:r w:rsidR="00674EFE" w:rsidRPr="00524473">
        <w:rPr>
          <w:rFonts w:ascii="Times New Roman" w:hAnsi="Times New Roman"/>
          <w:lang w:val="ru-RU"/>
        </w:rPr>
        <w:t xml:space="preserve">без указания </w:t>
      </w:r>
      <w:r w:rsidRPr="00524473">
        <w:rPr>
          <w:rFonts w:ascii="Times New Roman" w:hAnsi="Times New Roman"/>
          <w:lang w:val="ru-RU"/>
        </w:rPr>
        <w:t>кода доходов</w:t>
      </w:r>
      <w:r w:rsidR="00674EFE" w:rsidRPr="00524473">
        <w:rPr>
          <w:rFonts w:ascii="Times New Roman" w:hAnsi="Times New Roman"/>
          <w:lang w:val="ru-RU"/>
        </w:rPr>
        <w:t>.</w:t>
      </w:r>
      <w:r w:rsidRPr="00524473">
        <w:rPr>
          <w:rFonts w:ascii="Times New Roman" w:hAnsi="Times New Roman"/>
          <w:highlight w:val="green"/>
          <w:lang w:val="ru-RU"/>
        </w:rPr>
        <w:t xml:space="preserve"> </w:t>
      </w:r>
    </w:p>
    <w:p w14:paraId="5AD91A81" w14:textId="77777777" w:rsidR="009D283A" w:rsidRPr="00524473" w:rsidRDefault="00646C6A" w:rsidP="009D283A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24473">
        <w:rPr>
          <w:rFonts w:ascii="Times New Roman" w:hAnsi="Times New Roman"/>
          <w:b w:val="0"/>
          <w:color w:val="auto"/>
          <w:sz w:val="24"/>
          <w:szCs w:val="24"/>
        </w:rPr>
        <w:t>Прогнозные показатели</w:t>
      </w:r>
      <w:r w:rsidR="004F537F" w:rsidRPr="00524473">
        <w:rPr>
          <w:rFonts w:ascii="Times New Roman" w:hAnsi="Times New Roman"/>
          <w:b w:val="0"/>
          <w:color w:val="auto"/>
          <w:sz w:val="24"/>
          <w:szCs w:val="24"/>
        </w:rPr>
        <w:t xml:space="preserve"> поступлений</w:t>
      </w:r>
      <w:r w:rsidRPr="00524473">
        <w:rPr>
          <w:rFonts w:ascii="Times New Roman" w:hAnsi="Times New Roman"/>
          <w:b w:val="0"/>
          <w:color w:val="auto"/>
          <w:sz w:val="24"/>
          <w:szCs w:val="24"/>
        </w:rPr>
        <w:t xml:space="preserve"> администрируемых доходов доведены </w:t>
      </w:r>
      <w:r w:rsidR="00D43C42" w:rsidRPr="00524473">
        <w:rPr>
          <w:rFonts w:ascii="Times New Roman" w:hAnsi="Times New Roman"/>
          <w:b w:val="0"/>
          <w:color w:val="auto"/>
          <w:sz w:val="24"/>
          <w:szCs w:val="24"/>
        </w:rPr>
        <w:t>до КТ</w:t>
      </w:r>
      <w:r w:rsidR="004F537F" w:rsidRPr="00524473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="00D43C42" w:rsidRPr="0052447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24473">
        <w:rPr>
          <w:rFonts w:ascii="Times New Roman" w:hAnsi="Times New Roman"/>
          <w:b w:val="0"/>
          <w:color w:val="auto"/>
          <w:sz w:val="24"/>
          <w:szCs w:val="24"/>
        </w:rPr>
        <w:t xml:space="preserve">письмом </w:t>
      </w:r>
      <w:r w:rsidR="0009708E" w:rsidRPr="00524473">
        <w:rPr>
          <w:rFonts w:ascii="Times New Roman" w:hAnsi="Times New Roman"/>
          <w:b w:val="0"/>
          <w:color w:val="auto"/>
          <w:sz w:val="24"/>
          <w:szCs w:val="24"/>
        </w:rPr>
        <w:t>Облфин</w:t>
      </w:r>
      <w:r w:rsidR="003A592A" w:rsidRPr="00524473">
        <w:rPr>
          <w:rFonts w:ascii="Times New Roman" w:hAnsi="Times New Roman"/>
          <w:b w:val="0"/>
          <w:color w:val="auto"/>
          <w:sz w:val="24"/>
          <w:szCs w:val="24"/>
        </w:rPr>
        <w:t xml:space="preserve">а </w:t>
      </w:r>
      <w:r w:rsidR="004F537F" w:rsidRPr="00524473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C76B10" w:rsidRPr="00524473">
        <w:rPr>
          <w:rFonts w:ascii="Times New Roman" w:hAnsi="Times New Roman"/>
          <w:b w:val="0"/>
          <w:color w:val="auto"/>
          <w:sz w:val="24"/>
          <w:szCs w:val="24"/>
        </w:rPr>
        <w:t>04</w:t>
      </w:r>
      <w:r w:rsidR="004F537F" w:rsidRPr="00524473">
        <w:rPr>
          <w:rFonts w:ascii="Times New Roman" w:hAnsi="Times New Roman"/>
          <w:b w:val="0"/>
          <w:color w:val="auto"/>
          <w:sz w:val="24"/>
          <w:szCs w:val="24"/>
        </w:rPr>
        <w:t>.1</w:t>
      </w:r>
      <w:r w:rsidR="00C76B10" w:rsidRPr="00524473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4F537F" w:rsidRPr="00524473">
        <w:rPr>
          <w:rFonts w:ascii="Times New Roman" w:hAnsi="Times New Roman"/>
          <w:b w:val="0"/>
          <w:color w:val="auto"/>
          <w:sz w:val="24"/>
          <w:szCs w:val="24"/>
        </w:rPr>
        <w:t>.20</w:t>
      </w:r>
      <w:r w:rsidR="00C76B10" w:rsidRPr="00524473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="004F537F" w:rsidRPr="00524473">
        <w:rPr>
          <w:rFonts w:ascii="Times New Roman" w:hAnsi="Times New Roman"/>
          <w:b w:val="0"/>
          <w:color w:val="auto"/>
          <w:sz w:val="24"/>
          <w:szCs w:val="24"/>
        </w:rPr>
        <w:t xml:space="preserve"> №06-10-02-18/</w:t>
      </w:r>
      <w:r w:rsidR="00184FBE" w:rsidRPr="00524473">
        <w:rPr>
          <w:rFonts w:ascii="Times New Roman" w:hAnsi="Times New Roman"/>
          <w:b w:val="0"/>
          <w:color w:val="auto"/>
          <w:sz w:val="24"/>
          <w:szCs w:val="24"/>
        </w:rPr>
        <w:t>8903</w:t>
      </w:r>
      <w:r w:rsidR="004F537F" w:rsidRPr="00524473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14:paraId="55DAA665" w14:textId="77777777" w:rsidR="00646C6A" w:rsidRPr="00524473" w:rsidRDefault="009D283A" w:rsidP="009D283A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24473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Данные об администрируемых Комитетом доходах и фактическом поступлении за 2020 год отражены в таблице 2.</w:t>
      </w:r>
    </w:p>
    <w:p w14:paraId="402E613C" w14:textId="77777777" w:rsidR="00674EFE" w:rsidRPr="00F1778A" w:rsidRDefault="00FC16FE" w:rsidP="00FC16FE">
      <w:pPr>
        <w:tabs>
          <w:tab w:val="left" w:pos="601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                                                                                                                  </w:t>
      </w:r>
      <w:r w:rsidR="00AE245D" w:rsidRPr="00F1778A">
        <w:rPr>
          <w:rFonts w:ascii="Times New Roman" w:hAnsi="Times New Roman"/>
          <w:i/>
          <w:sz w:val="22"/>
          <w:szCs w:val="22"/>
          <w:lang w:val="ru-RU"/>
        </w:rPr>
        <w:t>Таблица 2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AE245D" w:rsidRPr="00F1778A">
        <w:rPr>
          <w:rFonts w:ascii="Times New Roman" w:hAnsi="Times New Roman"/>
          <w:i/>
          <w:sz w:val="22"/>
          <w:szCs w:val="22"/>
          <w:lang w:val="ru-RU"/>
        </w:rPr>
        <w:t>(тыс.руб.)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559"/>
        <w:gridCol w:w="1276"/>
        <w:gridCol w:w="1276"/>
        <w:gridCol w:w="1276"/>
      </w:tblGrid>
      <w:tr w:rsidR="008072BD" w:rsidRPr="00F1778A" w14:paraId="286C05B7" w14:textId="77777777" w:rsidTr="00AE245D">
        <w:trPr>
          <w:trHeight w:val="20"/>
        </w:trPr>
        <w:tc>
          <w:tcPr>
            <w:tcW w:w="469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E550DE4" w14:textId="77777777" w:rsidR="008072BD" w:rsidRPr="00F1778A" w:rsidRDefault="008072BD" w:rsidP="008072B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78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002CE87" w14:textId="77777777" w:rsidR="008072BD" w:rsidRPr="00F1778A" w:rsidRDefault="008072BD" w:rsidP="008072BD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78A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76B9DDB1" w14:textId="77777777" w:rsidR="008072BD" w:rsidRPr="00F1778A" w:rsidRDefault="008072BD" w:rsidP="008072B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1778A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7AC889" w14:textId="77777777" w:rsidR="008072BD" w:rsidRPr="00F1778A" w:rsidRDefault="008072BD" w:rsidP="008072BD">
            <w:pPr>
              <w:ind w:left="-104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1778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 бюджетным назначениям</w:t>
            </w:r>
          </w:p>
        </w:tc>
      </w:tr>
      <w:tr w:rsidR="008072BD" w:rsidRPr="00F1778A" w14:paraId="3403B073" w14:textId="77777777" w:rsidTr="00AE245D">
        <w:trPr>
          <w:trHeight w:val="20"/>
        </w:trPr>
        <w:tc>
          <w:tcPr>
            <w:tcW w:w="469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323FE11" w14:textId="77777777" w:rsidR="008072BD" w:rsidRPr="00F1778A" w:rsidRDefault="008072BD" w:rsidP="008072BD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6D6C20C" w14:textId="77777777" w:rsidR="008072BD" w:rsidRPr="00F1778A" w:rsidRDefault="008072BD" w:rsidP="008072BD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7DF011B" w14:textId="77777777" w:rsidR="008072BD" w:rsidRPr="00F1778A" w:rsidRDefault="008072BD" w:rsidP="008072BD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13A2BDE" w14:textId="77777777" w:rsidR="008072BD" w:rsidRPr="00F1778A" w:rsidRDefault="008072BD" w:rsidP="008072BD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78A"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B1D34B" w14:textId="77777777" w:rsidR="008072BD" w:rsidRPr="00F1778A" w:rsidRDefault="008072BD" w:rsidP="008072BD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78A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6F58F6" w:rsidRPr="00F1778A" w14:paraId="79C29F34" w14:textId="77777777" w:rsidTr="00AE245D">
        <w:trPr>
          <w:trHeight w:val="460"/>
        </w:trPr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C94FB34" w14:textId="77777777" w:rsidR="006F58F6" w:rsidRPr="00F1778A" w:rsidRDefault="006F58F6" w:rsidP="00787227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</w:pPr>
            <w:r w:rsidRPr="00F1778A"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  <w:t>Доходы бюджета - всего</w:t>
            </w:r>
          </w:p>
          <w:p w14:paraId="4A75C20C" w14:textId="77777777" w:rsidR="006F58F6" w:rsidRPr="00F1778A" w:rsidRDefault="006F58F6" w:rsidP="00787227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</w:pPr>
            <w:r w:rsidRPr="00F1778A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  </w:t>
            </w:r>
            <w:r w:rsidRPr="00F1778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A21D21" w14:textId="77777777" w:rsidR="006F58F6" w:rsidRPr="00F1778A" w:rsidRDefault="006F58F6" w:rsidP="008072B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</w:pPr>
            <w:r w:rsidRPr="00F1778A"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  <w:t>762,2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443B80" w14:textId="77777777" w:rsidR="006F58F6" w:rsidRPr="00F1778A" w:rsidRDefault="006F58F6" w:rsidP="008072B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</w:pPr>
            <w:r w:rsidRPr="00F1778A"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  <w:t>1002,0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AB8667" w14:textId="77777777" w:rsidR="006F58F6" w:rsidRPr="00F1778A" w:rsidRDefault="008657E2" w:rsidP="008072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+</w:t>
            </w:r>
            <w:r w:rsidR="006F58F6" w:rsidRPr="00F177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239,8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4FDC49" w14:textId="77777777" w:rsidR="006F58F6" w:rsidRPr="00F1778A" w:rsidRDefault="006F58F6" w:rsidP="00F23F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131,</w:t>
            </w:r>
            <w:r w:rsidR="00F23F3E" w:rsidRPr="00F177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</w:tr>
      <w:tr w:rsidR="008072BD" w:rsidRPr="00F1778A" w14:paraId="48655EBE" w14:textId="77777777" w:rsidTr="00AE245D">
        <w:trPr>
          <w:trHeight w:val="20"/>
        </w:trPr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A62810E" w14:textId="77777777" w:rsidR="008072BD" w:rsidRPr="00590A6A" w:rsidRDefault="008072BD" w:rsidP="00787227">
            <w:pP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590A6A">
              <w:rPr>
                <w:rFonts w:ascii="Times New Roman" w:eastAsia="Calibri" w:hAnsi="Times New Roman"/>
                <w:b/>
                <w:i/>
                <w:sz w:val="20"/>
                <w:szCs w:val="20"/>
                <w:lang w:val="ru-RU"/>
              </w:rPr>
              <w:t>Налоговые и неналоговые доходы</w:t>
            </w:r>
            <w:r w:rsidR="00590A6A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, из них: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FDD6F7" w14:textId="77777777" w:rsidR="008072BD" w:rsidRPr="00590A6A" w:rsidRDefault="00203D24" w:rsidP="008072B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</w:pPr>
            <w:r w:rsidRPr="00590A6A"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  <w:t>762,2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2CBC9C" w14:textId="77777777" w:rsidR="008072BD" w:rsidRPr="00590A6A" w:rsidRDefault="00203D24" w:rsidP="008072B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</w:pPr>
            <w:r w:rsidRPr="00590A6A"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  <w:t>919,2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4CA8AD" w14:textId="77777777" w:rsidR="008072BD" w:rsidRPr="00590A6A" w:rsidRDefault="008657E2" w:rsidP="008072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0A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+</w:t>
            </w:r>
            <w:r w:rsidR="006F58F6" w:rsidRPr="00590A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157,0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EFE65E" w14:textId="77777777" w:rsidR="008072BD" w:rsidRPr="00590A6A" w:rsidRDefault="004735E9" w:rsidP="008072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0A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120,6</w:t>
            </w:r>
          </w:p>
        </w:tc>
      </w:tr>
      <w:tr w:rsidR="008072BD" w:rsidRPr="00F1778A" w14:paraId="2C32E612" w14:textId="77777777" w:rsidTr="00AE245D">
        <w:trPr>
          <w:trHeight w:val="525"/>
        </w:trPr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7A83" w14:textId="77777777" w:rsidR="00AD4749" w:rsidRPr="00F1778A" w:rsidRDefault="00CF7780" w:rsidP="00CF77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78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Прочие д</w:t>
            </w:r>
            <w:r w:rsidR="00AD4749" w:rsidRPr="00F1778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оходы от компенсации затрат </w:t>
            </w:r>
            <w:r w:rsidRPr="00F1778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бюджетов субъектов РФ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DC1D" w14:textId="77777777" w:rsidR="008072BD" w:rsidRPr="00F1778A" w:rsidRDefault="00203D24" w:rsidP="008072B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137,3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2D5C" w14:textId="77777777" w:rsidR="008072BD" w:rsidRPr="00F1778A" w:rsidRDefault="00203D24" w:rsidP="008072B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137,3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00C1" w14:textId="77777777" w:rsidR="008072BD" w:rsidRPr="00F1778A" w:rsidRDefault="004735E9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07E041" w14:textId="77777777" w:rsidR="008072BD" w:rsidRPr="00F1778A" w:rsidRDefault="004735E9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</w:tr>
      <w:tr w:rsidR="008072BD" w:rsidRPr="00F1778A" w14:paraId="5A542E9C" w14:textId="77777777" w:rsidTr="00AE245D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0CD1" w14:textId="77777777" w:rsidR="008072BD" w:rsidRPr="00F1778A" w:rsidRDefault="008072BD" w:rsidP="00787227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8452" w14:textId="77777777" w:rsidR="008072BD" w:rsidRPr="00F1778A" w:rsidRDefault="008072BD" w:rsidP="008072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01D2" w14:textId="77777777" w:rsidR="008072BD" w:rsidRPr="00F1778A" w:rsidRDefault="008072BD" w:rsidP="008072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D2CB" w14:textId="77777777" w:rsidR="008072BD" w:rsidRPr="00F1778A" w:rsidRDefault="008072BD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6F992D" w14:textId="77777777" w:rsidR="008072BD" w:rsidRPr="00F1778A" w:rsidRDefault="008072BD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87227" w:rsidRPr="00F1778A" w14:paraId="3F3CB4F1" w14:textId="77777777" w:rsidTr="00AE245D">
        <w:trPr>
          <w:trHeight w:val="299"/>
        </w:trPr>
        <w:tc>
          <w:tcPr>
            <w:tcW w:w="4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F9A6" w14:textId="77777777" w:rsidR="00787227" w:rsidRPr="00590A6A" w:rsidRDefault="00787227" w:rsidP="006F58F6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90A6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Штрафы, санкции, возмещение ущерба</w:t>
            </w:r>
            <w:r w:rsidR="0021698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537C" w14:textId="77777777" w:rsidR="00787227" w:rsidRPr="00590A6A" w:rsidRDefault="00203D24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0A6A">
              <w:rPr>
                <w:rFonts w:ascii="Times New Roman" w:hAnsi="Times New Roman"/>
                <w:sz w:val="20"/>
                <w:szCs w:val="20"/>
                <w:lang w:val="ru-RU"/>
              </w:rPr>
              <w:t>624,9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9165" w14:textId="77777777" w:rsidR="00787227" w:rsidRPr="00590A6A" w:rsidRDefault="00203D24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0A6A">
              <w:rPr>
                <w:rFonts w:ascii="Times New Roman" w:hAnsi="Times New Roman"/>
                <w:sz w:val="20"/>
                <w:szCs w:val="20"/>
                <w:lang w:val="ru-RU"/>
              </w:rPr>
              <w:t>781,9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7EE5" w14:textId="77777777" w:rsidR="00787227" w:rsidRPr="00590A6A" w:rsidRDefault="008657E2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0A6A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  <w:r w:rsidR="004735E9" w:rsidRPr="00590A6A">
              <w:rPr>
                <w:rFonts w:ascii="Times New Roman" w:hAnsi="Times New Roman"/>
                <w:sz w:val="20"/>
                <w:szCs w:val="20"/>
                <w:lang w:val="ru-RU"/>
              </w:rPr>
              <w:t>157,0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B001AB" w14:textId="77777777" w:rsidR="00787227" w:rsidRPr="00590A6A" w:rsidRDefault="004735E9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0A6A">
              <w:rPr>
                <w:rFonts w:ascii="Times New Roman" w:hAnsi="Times New Roman"/>
                <w:sz w:val="20"/>
                <w:szCs w:val="20"/>
                <w:lang w:val="ru-RU"/>
              </w:rPr>
              <w:t>125,1</w:t>
            </w:r>
          </w:p>
        </w:tc>
      </w:tr>
      <w:tr w:rsidR="008657E2" w:rsidRPr="00F1778A" w14:paraId="36700004" w14:textId="77777777" w:rsidTr="00AE245D">
        <w:trPr>
          <w:trHeight w:val="384"/>
        </w:trPr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67C1" w14:textId="77777777" w:rsidR="008657E2" w:rsidRPr="00216981" w:rsidRDefault="008657E2" w:rsidP="006F58F6">
            <w:pPr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</w:pPr>
            <w:r w:rsidRPr="00216981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27AA" w14:textId="77777777" w:rsidR="008657E2" w:rsidRPr="00F1778A" w:rsidRDefault="008657E2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sz w:val="20"/>
                <w:szCs w:val="20"/>
                <w:lang w:val="ru-RU"/>
              </w:rPr>
              <w:t>608,2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6259" w14:textId="77777777" w:rsidR="008657E2" w:rsidRPr="00F1778A" w:rsidRDefault="008657E2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sz w:val="20"/>
                <w:szCs w:val="20"/>
                <w:lang w:val="ru-RU"/>
              </w:rPr>
              <w:t>758,2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D602" w14:textId="77777777" w:rsidR="008657E2" w:rsidRPr="00F1778A" w:rsidRDefault="008657E2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sz w:val="20"/>
                <w:szCs w:val="20"/>
                <w:lang w:val="ru-RU"/>
              </w:rPr>
              <w:t>+150,0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64F74C" w14:textId="77777777" w:rsidR="008657E2" w:rsidRPr="00F1778A" w:rsidRDefault="008657E2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sz w:val="20"/>
                <w:szCs w:val="20"/>
                <w:lang w:val="ru-RU"/>
              </w:rPr>
              <w:t>124,7</w:t>
            </w:r>
          </w:p>
        </w:tc>
      </w:tr>
      <w:tr w:rsidR="008657E2" w:rsidRPr="00F1778A" w14:paraId="7BFF8782" w14:textId="77777777" w:rsidTr="00AE245D">
        <w:trPr>
          <w:trHeight w:val="20"/>
        </w:trPr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7864" w14:textId="77777777" w:rsidR="008657E2" w:rsidRPr="00216981" w:rsidRDefault="008657E2" w:rsidP="008657E2">
            <w:pPr>
              <w:rPr>
                <w:rFonts w:ascii="Times New Roman" w:eastAsia="Calibri" w:hAnsi="Times New Roman"/>
                <w:b/>
                <w:i/>
                <w:sz w:val="20"/>
                <w:szCs w:val="20"/>
                <w:lang w:val="ru-RU"/>
              </w:rPr>
            </w:pPr>
            <w:r w:rsidRPr="00216981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Доходы от денежных взысканий (штрафов), </w:t>
            </w:r>
            <w:r w:rsidRPr="00216981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субъекта РФ по нормативам, действовавшим в 2019 году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4D1F" w14:textId="77777777" w:rsidR="008657E2" w:rsidRPr="00F1778A" w:rsidRDefault="008657E2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16,7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254" w14:textId="77777777" w:rsidR="008657E2" w:rsidRPr="00F1778A" w:rsidRDefault="008657E2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sz w:val="20"/>
                <w:szCs w:val="20"/>
                <w:lang w:val="ru-RU"/>
              </w:rPr>
              <w:t>23,7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78DB" w14:textId="77777777" w:rsidR="008657E2" w:rsidRPr="00F1778A" w:rsidRDefault="008657E2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sz w:val="20"/>
                <w:szCs w:val="20"/>
                <w:lang w:val="ru-RU"/>
              </w:rPr>
              <w:t>+7,0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6E4952" w14:textId="77777777" w:rsidR="008657E2" w:rsidRPr="00F1778A" w:rsidRDefault="008657E2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sz w:val="20"/>
                <w:szCs w:val="20"/>
                <w:lang w:val="ru-RU"/>
              </w:rPr>
              <w:t>141,9</w:t>
            </w:r>
          </w:p>
        </w:tc>
      </w:tr>
      <w:tr w:rsidR="008072BD" w:rsidRPr="00F1778A" w14:paraId="685657E9" w14:textId="77777777" w:rsidTr="00AE245D">
        <w:trPr>
          <w:trHeight w:val="20"/>
        </w:trPr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7353" w14:textId="77777777" w:rsidR="00203D24" w:rsidRPr="00F1778A" w:rsidRDefault="008072BD" w:rsidP="006F58F6">
            <w:pPr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F1778A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FC9D" w14:textId="77777777" w:rsidR="008072BD" w:rsidRPr="00F1778A" w:rsidRDefault="00203D24" w:rsidP="008072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D51F" w14:textId="77777777" w:rsidR="008072BD" w:rsidRPr="00F1778A" w:rsidRDefault="006F58F6" w:rsidP="008072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82,8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E80B" w14:textId="4255A604" w:rsidR="008072BD" w:rsidRPr="00F1778A" w:rsidRDefault="00561A9E" w:rsidP="008072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+82,8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BFD4DF" w14:textId="77777777" w:rsidR="008072BD" w:rsidRPr="00F1778A" w:rsidRDefault="004735E9" w:rsidP="008072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8072BD" w:rsidRPr="00F1778A" w14:paraId="2BFE2495" w14:textId="77777777" w:rsidTr="00AE245D">
        <w:trPr>
          <w:trHeight w:val="20"/>
        </w:trPr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53776ADF" w14:textId="77777777" w:rsidR="008072BD" w:rsidRPr="00F1778A" w:rsidRDefault="008072BD" w:rsidP="00203D24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F1778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Доходы бюджетов субъектов РФ от возврата остатков субсидий</w:t>
            </w:r>
            <w:r w:rsidR="00203D24" w:rsidRPr="00F1778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, субвенций и иных межбюджетных трансфертов, имеющих целевое назначение,</w:t>
            </w:r>
            <w:r w:rsidRPr="00F1778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прошлых лет</w:t>
            </w:r>
            <w:r w:rsidR="00203D24" w:rsidRPr="00F1778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из бюджетов муниципальных образований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4BD610" w14:textId="77777777" w:rsidR="008072BD" w:rsidRPr="00F1778A" w:rsidRDefault="00203D24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5FF09E" w14:textId="77777777" w:rsidR="008072BD" w:rsidRPr="00F1778A" w:rsidRDefault="006F58F6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sz w:val="20"/>
                <w:szCs w:val="20"/>
                <w:lang w:val="ru-RU"/>
              </w:rPr>
              <w:t>82,8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9E97D8" w14:textId="1CA2BB26" w:rsidR="008072BD" w:rsidRPr="00F1778A" w:rsidRDefault="00561A9E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+82,8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340706" w14:textId="77777777" w:rsidR="008072BD" w:rsidRPr="00F1778A" w:rsidRDefault="004735E9" w:rsidP="008072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78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</w:tbl>
    <w:p w14:paraId="4FCE32D5" w14:textId="77777777" w:rsidR="0039653E" w:rsidRDefault="0039653E" w:rsidP="00F234A8">
      <w:pPr>
        <w:ind w:firstLine="708"/>
        <w:jc w:val="both"/>
        <w:rPr>
          <w:rFonts w:ascii="Times New Roman" w:hAnsi="Times New Roman"/>
          <w:lang w:val="ru-RU"/>
        </w:rPr>
      </w:pPr>
    </w:p>
    <w:p w14:paraId="3480F2E4" w14:textId="77777777" w:rsidR="00401AAB" w:rsidRPr="00F1778A" w:rsidRDefault="005A5B28" w:rsidP="00F234A8">
      <w:pPr>
        <w:ind w:firstLine="708"/>
        <w:jc w:val="both"/>
        <w:rPr>
          <w:rFonts w:ascii="Times New Roman" w:hAnsi="Times New Roman"/>
          <w:lang w:val="ru-RU"/>
        </w:rPr>
      </w:pPr>
      <w:r w:rsidRPr="00F1778A">
        <w:rPr>
          <w:rFonts w:ascii="Times New Roman" w:hAnsi="Times New Roman"/>
          <w:lang w:val="ru-RU"/>
        </w:rPr>
        <w:t xml:space="preserve">Доходы Комитета </w:t>
      </w:r>
      <w:r w:rsidR="00902738" w:rsidRPr="00F1778A">
        <w:rPr>
          <w:rFonts w:ascii="Times New Roman" w:hAnsi="Times New Roman"/>
          <w:lang w:val="ru-RU"/>
        </w:rPr>
        <w:t>в 2020 году составили 1002,0 тыс. руб., что превышает плановые назначе</w:t>
      </w:r>
      <w:r w:rsidR="00F23F3E" w:rsidRPr="00F1778A">
        <w:rPr>
          <w:rFonts w:ascii="Times New Roman" w:hAnsi="Times New Roman"/>
          <w:lang w:val="ru-RU"/>
        </w:rPr>
        <w:t xml:space="preserve">ния на 239,8 тыс. руб., или на </w:t>
      </w:r>
      <w:r w:rsidR="004C4AB4" w:rsidRPr="00F1778A">
        <w:rPr>
          <w:rFonts w:ascii="Times New Roman" w:hAnsi="Times New Roman"/>
          <w:lang w:val="ru-RU"/>
        </w:rPr>
        <w:t>31,4</w:t>
      </w:r>
      <w:r w:rsidR="00902738" w:rsidRPr="00F1778A">
        <w:rPr>
          <w:rFonts w:ascii="Times New Roman" w:hAnsi="Times New Roman"/>
          <w:lang w:val="ru-RU"/>
        </w:rPr>
        <w:t xml:space="preserve"> </w:t>
      </w:r>
      <w:r w:rsidR="00F23F3E" w:rsidRPr="00F1778A">
        <w:rPr>
          <w:rFonts w:ascii="Times New Roman" w:hAnsi="Times New Roman"/>
          <w:lang w:val="ru-RU"/>
        </w:rPr>
        <w:t>процента</w:t>
      </w:r>
      <w:r w:rsidR="00902738" w:rsidRPr="00F1778A">
        <w:rPr>
          <w:rFonts w:ascii="Times New Roman" w:hAnsi="Times New Roman"/>
          <w:lang w:val="ru-RU"/>
        </w:rPr>
        <w:t xml:space="preserve">. </w:t>
      </w:r>
      <w:r w:rsidR="00A96FD1" w:rsidRPr="00F1778A">
        <w:rPr>
          <w:rFonts w:ascii="Times New Roman" w:hAnsi="Times New Roman"/>
          <w:lang w:val="ru-RU"/>
        </w:rPr>
        <w:t>Фактическое исполнение превысило прогнозный показатель</w:t>
      </w:r>
      <w:r w:rsidR="00401AAB" w:rsidRPr="00F1778A">
        <w:rPr>
          <w:rFonts w:ascii="Times New Roman" w:hAnsi="Times New Roman"/>
          <w:lang w:val="ru-RU"/>
        </w:rPr>
        <w:t>:</w:t>
      </w:r>
    </w:p>
    <w:p w14:paraId="51F2E2AE" w14:textId="77777777" w:rsidR="00401AAB" w:rsidRPr="00F1778A" w:rsidRDefault="00401AAB" w:rsidP="00F234A8">
      <w:pPr>
        <w:ind w:firstLine="708"/>
        <w:jc w:val="both"/>
        <w:rPr>
          <w:rFonts w:ascii="Times New Roman" w:hAnsi="Times New Roman"/>
          <w:lang w:val="ru-RU"/>
        </w:rPr>
      </w:pPr>
      <w:r w:rsidRPr="00F1778A">
        <w:rPr>
          <w:rFonts w:ascii="Times New Roman" w:hAnsi="Times New Roman"/>
          <w:lang w:val="ru-RU"/>
        </w:rPr>
        <w:t xml:space="preserve">-на 157,0 тыс. руб. </w:t>
      </w:r>
      <w:r w:rsidR="00A96FD1" w:rsidRPr="00F1778A">
        <w:rPr>
          <w:rFonts w:ascii="Times New Roman" w:hAnsi="Times New Roman"/>
          <w:lang w:val="ru-RU"/>
        </w:rPr>
        <w:t>в связи со значительным поступлением административных штрафов</w:t>
      </w:r>
      <w:r w:rsidRPr="00F1778A">
        <w:rPr>
          <w:rFonts w:ascii="Times New Roman" w:hAnsi="Times New Roman"/>
          <w:lang w:val="ru-RU"/>
        </w:rPr>
        <w:t>;</w:t>
      </w:r>
    </w:p>
    <w:p w14:paraId="6DEEFC7C" w14:textId="77777777" w:rsidR="00401AAB" w:rsidRPr="008A5168" w:rsidRDefault="00401AAB" w:rsidP="00F234A8">
      <w:pPr>
        <w:ind w:firstLine="708"/>
        <w:jc w:val="both"/>
        <w:rPr>
          <w:rFonts w:ascii="Times New Roman" w:hAnsi="Times New Roman"/>
          <w:lang w:val="ru-RU"/>
        </w:rPr>
      </w:pPr>
      <w:r w:rsidRPr="00F1778A">
        <w:rPr>
          <w:rFonts w:ascii="Times New Roman" w:hAnsi="Times New Roman"/>
          <w:lang w:val="ru-RU"/>
        </w:rPr>
        <w:t>-на 82,8 тыс. руб.</w:t>
      </w:r>
      <w:r w:rsidR="00F23F3E" w:rsidRPr="00F1778A">
        <w:rPr>
          <w:rFonts w:ascii="Times New Roman" w:hAnsi="Times New Roman"/>
          <w:lang w:val="ru-RU"/>
        </w:rPr>
        <w:t xml:space="preserve"> </w:t>
      </w:r>
      <w:r w:rsidRPr="00F1778A">
        <w:rPr>
          <w:rFonts w:ascii="Times New Roman" w:hAnsi="Times New Roman"/>
          <w:lang w:val="ru-RU"/>
        </w:rPr>
        <w:t>в связи с возвратом субвенций прошлых лет на предоставление компенсаций выпадающих доходов ресурсоснабжающих организаций</w:t>
      </w:r>
      <w:r w:rsidR="004C4AB4" w:rsidRPr="00F1778A">
        <w:rPr>
          <w:rFonts w:ascii="Times New Roman" w:hAnsi="Times New Roman"/>
          <w:lang w:val="ru-RU"/>
        </w:rPr>
        <w:t>:</w:t>
      </w:r>
      <w:r w:rsidRPr="00F1778A">
        <w:rPr>
          <w:rFonts w:ascii="Times New Roman" w:hAnsi="Times New Roman"/>
          <w:lang w:val="ru-RU"/>
        </w:rPr>
        <w:t xml:space="preserve">  администрацией Городищенского муниципального района Волгоградской области в размере 1,2 тыс. руб., администрацией Нехаевского муниципального района Волгоградской области – 72,1 тыс. руб., </w:t>
      </w:r>
      <w:r w:rsidRPr="008A5168">
        <w:rPr>
          <w:rFonts w:ascii="Times New Roman" w:hAnsi="Times New Roman"/>
          <w:lang w:val="ru-RU"/>
        </w:rPr>
        <w:t xml:space="preserve">администрацией городского округа город Урюпинск Волгоградской области – 9,5 тыс. рублей. </w:t>
      </w:r>
    </w:p>
    <w:p w14:paraId="045901A2" w14:textId="77777777" w:rsidR="00674EFE" w:rsidRPr="008A5168" w:rsidRDefault="00DA30B4" w:rsidP="00F234A8">
      <w:pPr>
        <w:tabs>
          <w:tab w:val="left" w:pos="601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8A5168">
        <w:rPr>
          <w:rFonts w:ascii="Times New Roman" w:hAnsi="Times New Roman"/>
          <w:lang w:val="ru-RU"/>
        </w:rPr>
        <w:t xml:space="preserve">                </w:t>
      </w:r>
      <w:r w:rsidR="005507D3" w:rsidRPr="008A5168">
        <w:rPr>
          <w:rFonts w:ascii="Times New Roman" w:hAnsi="Times New Roman"/>
          <w:lang w:val="ru-RU"/>
        </w:rPr>
        <w:t xml:space="preserve">                                          </w:t>
      </w:r>
      <w:r w:rsidR="0011545F" w:rsidRPr="008A5168">
        <w:rPr>
          <w:rFonts w:ascii="Times New Roman" w:hAnsi="Times New Roman"/>
          <w:lang w:val="ru-RU"/>
        </w:rPr>
        <w:t xml:space="preserve">                       </w:t>
      </w:r>
      <w:r w:rsidR="00521913" w:rsidRPr="008A5168">
        <w:rPr>
          <w:rFonts w:ascii="Times New Roman" w:hAnsi="Times New Roman"/>
          <w:lang w:val="ru-RU"/>
        </w:rPr>
        <w:t xml:space="preserve">      </w:t>
      </w:r>
      <w:r w:rsidR="005507D3" w:rsidRPr="008A5168">
        <w:rPr>
          <w:rFonts w:ascii="Times New Roman" w:hAnsi="Times New Roman"/>
          <w:lang w:val="ru-RU"/>
        </w:rPr>
        <w:t xml:space="preserve">                    </w:t>
      </w:r>
      <w:r w:rsidRPr="008A5168">
        <w:rPr>
          <w:rFonts w:ascii="Times New Roman" w:hAnsi="Times New Roman"/>
          <w:lang w:val="ru-RU"/>
        </w:rPr>
        <w:t xml:space="preserve">         </w:t>
      </w:r>
    </w:p>
    <w:p w14:paraId="65A05C92" w14:textId="77777777" w:rsidR="00CA6FAE" w:rsidRPr="0039498E" w:rsidRDefault="00CA6FAE" w:rsidP="00F234A8">
      <w:pPr>
        <w:pStyle w:val="aa"/>
        <w:spacing w:after="0"/>
        <w:ind w:firstLine="709"/>
        <w:rPr>
          <w:b/>
          <w:bCs/>
          <w:iCs/>
        </w:rPr>
      </w:pPr>
      <w:r w:rsidRPr="0039498E">
        <w:rPr>
          <w:b/>
          <w:bCs/>
          <w:iCs/>
        </w:rPr>
        <w:t xml:space="preserve">                                           Исполнение расходов</w:t>
      </w:r>
    </w:p>
    <w:p w14:paraId="540C3A22" w14:textId="477BCAEB" w:rsidR="00CA6FAE" w:rsidRPr="00EC5983" w:rsidRDefault="00CA6FAE" w:rsidP="00F234A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>Согласно</w:t>
      </w:r>
      <w:r w:rsidR="00FC404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>Отчету</w:t>
      </w:r>
      <w:r w:rsidR="00FC404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>(ф. 0503127)</w:t>
      </w:r>
      <w:r w:rsidR="00FC404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>утверждённые бюджетные назначения на 20</w:t>
      </w:r>
      <w:r w:rsidR="00F43514"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>20</w:t>
      </w:r>
      <w:r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год составили </w:t>
      </w:r>
      <w:r w:rsidR="00DE08DF"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>992956,3</w:t>
      </w:r>
      <w:r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тыс. руб., лимиты бюджетных обязательств – </w:t>
      </w:r>
      <w:r w:rsidR="00DE08DF"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>992865,</w:t>
      </w:r>
      <w:r w:rsidR="00405CBB"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>4</w:t>
      </w:r>
      <w:r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тыс. рублей. </w:t>
      </w:r>
    </w:p>
    <w:p w14:paraId="741F162C" w14:textId="77777777" w:rsidR="00521913" w:rsidRPr="00EC5983" w:rsidRDefault="00CA6FAE" w:rsidP="003176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Бюджетные </w:t>
      </w:r>
      <w:r w:rsidR="004C4AB4"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>назначения</w:t>
      </w:r>
      <w:r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предусмотренные бюджетной росписью Комитету, превысили </w:t>
      </w:r>
      <w:r w:rsidR="004C4AB4"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ассигнования, </w:t>
      </w:r>
      <w:r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утверждённые </w:t>
      </w:r>
      <w:r w:rsidRPr="00EC5983">
        <w:rPr>
          <w:rFonts w:ascii="Times New Roman" w:hAnsi="Times New Roman"/>
          <w:b w:val="0"/>
          <w:color w:val="auto"/>
          <w:sz w:val="24"/>
          <w:szCs w:val="24"/>
        </w:rPr>
        <w:t>Законом об областном бюджете на 20</w:t>
      </w:r>
      <w:r w:rsidR="00DE08DF" w:rsidRPr="00EC5983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EC5983">
        <w:rPr>
          <w:rFonts w:ascii="Times New Roman" w:hAnsi="Times New Roman"/>
          <w:b w:val="0"/>
          <w:color w:val="auto"/>
          <w:sz w:val="24"/>
          <w:szCs w:val="24"/>
        </w:rPr>
        <w:t xml:space="preserve"> год (</w:t>
      </w:r>
      <w:r w:rsidR="00B812DC" w:rsidRPr="00EC5983">
        <w:rPr>
          <w:rFonts w:ascii="Times New Roman" w:hAnsi="Times New Roman"/>
          <w:b w:val="0"/>
          <w:color w:val="auto"/>
          <w:sz w:val="24"/>
          <w:szCs w:val="24"/>
        </w:rPr>
        <w:t xml:space="preserve">888042,1 </w:t>
      </w:r>
      <w:r w:rsidRPr="00EC5983">
        <w:rPr>
          <w:rFonts w:ascii="Times New Roman" w:hAnsi="Times New Roman"/>
          <w:b w:val="0"/>
          <w:color w:val="auto"/>
          <w:sz w:val="24"/>
          <w:szCs w:val="24"/>
        </w:rPr>
        <w:t>тыс. руб.)</w:t>
      </w:r>
      <w:r w:rsidR="004C4AB4" w:rsidRPr="00EC5983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EC598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на </w:t>
      </w:r>
      <w:r w:rsidR="00B812DC"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>104914,2</w:t>
      </w:r>
      <w:r w:rsidRPr="00EC59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тыс. руб.</w:t>
      </w:r>
      <w:r w:rsidRPr="00EC5983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E035FB" w:rsidRPr="00EC5983">
        <w:rPr>
          <w:rFonts w:ascii="Times New Roman" w:hAnsi="Times New Roman"/>
          <w:b w:val="0"/>
          <w:color w:val="auto"/>
          <w:sz w:val="24"/>
          <w:szCs w:val="24"/>
        </w:rPr>
        <w:t xml:space="preserve"> или на 10,6%, </w:t>
      </w:r>
      <w:r w:rsidR="000F1A5D" w:rsidRPr="00EC5983">
        <w:rPr>
          <w:rFonts w:ascii="Times New Roman" w:hAnsi="Times New Roman"/>
          <w:b w:val="0"/>
          <w:color w:val="auto"/>
          <w:sz w:val="24"/>
          <w:szCs w:val="24"/>
        </w:rPr>
        <w:t xml:space="preserve">что обусловлено </w:t>
      </w:r>
      <w:r w:rsidR="00521913" w:rsidRPr="00EC5983">
        <w:rPr>
          <w:rFonts w:ascii="Times New Roman" w:hAnsi="Times New Roman"/>
          <w:b w:val="0"/>
          <w:color w:val="auto"/>
          <w:sz w:val="24"/>
          <w:szCs w:val="24"/>
        </w:rPr>
        <w:t>в основном:</w:t>
      </w:r>
    </w:p>
    <w:p w14:paraId="67A27E6F" w14:textId="77777777" w:rsidR="007E7BFA" w:rsidRPr="007E7BFA" w:rsidRDefault="00521913" w:rsidP="003176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5983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="000F1A5D" w:rsidRPr="00EC5983">
        <w:rPr>
          <w:rFonts w:ascii="Times New Roman" w:hAnsi="Times New Roman"/>
          <w:b w:val="0"/>
          <w:color w:val="auto"/>
          <w:sz w:val="24"/>
          <w:szCs w:val="24"/>
        </w:rPr>
        <w:t>проведением организационно-штатных мероприятий в связи с сокращением штатной численности Комитета и созданием ГКУ «Экспертный центр»</w:t>
      </w:r>
      <w:r w:rsidRPr="00EC5983">
        <w:rPr>
          <w:rFonts w:ascii="Times New Roman" w:hAnsi="Times New Roman"/>
          <w:b w:val="0"/>
          <w:color w:val="auto"/>
          <w:sz w:val="24"/>
          <w:szCs w:val="24"/>
        </w:rPr>
        <w:t>;</w:t>
      </w:r>
      <w:r w:rsidR="007E7BF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F1A5D" w:rsidRPr="00EC5983">
        <w:rPr>
          <w:rFonts w:ascii="Times New Roman" w:hAnsi="Times New Roman"/>
          <w:b w:val="0"/>
          <w:color w:val="auto"/>
          <w:sz w:val="24"/>
          <w:szCs w:val="24"/>
        </w:rPr>
        <w:t xml:space="preserve">премированием председателя </w:t>
      </w:r>
      <w:r w:rsidR="00EA4386" w:rsidRPr="00EC5983">
        <w:rPr>
          <w:rFonts w:ascii="Times New Roman" w:hAnsi="Times New Roman"/>
          <w:b w:val="0"/>
          <w:color w:val="auto"/>
          <w:sz w:val="24"/>
          <w:szCs w:val="24"/>
        </w:rPr>
        <w:t xml:space="preserve">и работников </w:t>
      </w:r>
      <w:r w:rsidR="000F1A5D" w:rsidRPr="00EC5983">
        <w:rPr>
          <w:rFonts w:ascii="Times New Roman" w:hAnsi="Times New Roman"/>
          <w:b w:val="0"/>
          <w:color w:val="auto"/>
          <w:sz w:val="24"/>
          <w:szCs w:val="24"/>
        </w:rPr>
        <w:t xml:space="preserve">КТР по распоряжениям Губернатора Волгоградской области, в том числе </w:t>
      </w:r>
      <w:r w:rsidR="004C4AB4" w:rsidRPr="00EC5983">
        <w:rPr>
          <w:rFonts w:ascii="Times New Roman" w:hAnsi="Times New Roman"/>
          <w:b w:val="0"/>
          <w:color w:val="auto"/>
          <w:sz w:val="24"/>
          <w:szCs w:val="24"/>
        </w:rPr>
        <w:t>за счет средств</w:t>
      </w:r>
      <w:r w:rsidR="000F1A5D" w:rsidRPr="00EC5983">
        <w:rPr>
          <w:rFonts w:ascii="Times New Roman" w:hAnsi="Times New Roman"/>
          <w:b w:val="0"/>
          <w:color w:val="auto"/>
          <w:sz w:val="24"/>
          <w:szCs w:val="24"/>
        </w:rPr>
        <w:t xml:space="preserve"> федерального бюджета</w:t>
      </w:r>
      <w:r w:rsidR="00C83186" w:rsidRPr="00EC5983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EA4386" w:rsidRPr="00EC5983">
        <w:rPr>
          <w:rFonts w:ascii="Times New Roman" w:eastAsia="MS Mincho" w:hAnsi="Times New Roman"/>
          <w:b w:val="0"/>
          <w:color w:val="auto"/>
          <w:sz w:val="24"/>
          <w:szCs w:val="24"/>
          <w:lang w:eastAsia="ja-JP"/>
        </w:rPr>
        <w:t xml:space="preserve">на основании </w:t>
      </w:r>
      <w:r w:rsidR="00C83186" w:rsidRPr="00EC5983">
        <w:rPr>
          <w:rFonts w:ascii="Times New Roman" w:eastAsia="MS Mincho" w:hAnsi="Times New Roman"/>
          <w:b w:val="0"/>
          <w:color w:val="auto"/>
          <w:sz w:val="24"/>
          <w:szCs w:val="24"/>
          <w:lang w:eastAsia="ja-JP"/>
        </w:rPr>
        <w:t>р</w:t>
      </w:r>
      <w:r w:rsidR="00C83186" w:rsidRPr="00EC5983">
        <w:rPr>
          <w:rFonts w:ascii="Times New Roman" w:hAnsi="Times New Roman"/>
          <w:b w:val="0"/>
          <w:color w:val="auto"/>
          <w:sz w:val="24"/>
          <w:szCs w:val="24"/>
        </w:rPr>
        <w:t xml:space="preserve">аспоряжения Правительства РФ от 04.12.2020  № 3207-р и постановления Администрации Волгоградской области от 25.12.2020 № 822-п «О мерах по реализации постановления Правительства Российской Федерации от 04 декабря 2020 г. № 2026 «О поощрении субъектов Российской Федерации в 2020 году за достижение показателей </w:t>
      </w:r>
      <w:r w:rsidR="00C83186" w:rsidRPr="007E7BFA">
        <w:rPr>
          <w:rFonts w:ascii="Times New Roman" w:hAnsi="Times New Roman"/>
          <w:b w:val="0"/>
          <w:color w:val="auto"/>
          <w:sz w:val="24"/>
          <w:szCs w:val="24"/>
        </w:rPr>
        <w:t>деятельности органов исполнительной власти субъектов Российской Федерации»</w:t>
      </w:r>
      <w:r w:rsidR="007E7BFA" w:rsidRPr="007E7BFA">
        <w:rPr>
          <w:rFonts w:ascii="Times New Roman" w:hAnsi="Times New Roman"/>
          <w:b w:val="0"/>
          <w:color w:val="auto"/>
          <w:sz w:val="24"/>
          <w:szCs w:val="24"/>
        </w:rPr>
        <w:t xml:space="preserve"> (0401); </w:t>
      </w:r>
    </w:p>
    <w:p w14:paraId="5FD94A41" w14:textId="77777777" w:rsidR="00B812DC" w:rsidRPr="008A5168" w:rsidRDefault="007E7BFA" w:rsidP="008A5168">
      <w:pPr>
        <w:tabs>
          <w:tab w:val="left" w:pos="-567"/>
        </w:tabs>
        <w:ind w:firstLine="709"/>
        <w:jc w:val="both"/>
        <w:rPr>
          <w:rFonts w:ascii="Times New Roman" w:hAnsi="Times New Roman"/>
          <w:b/>
          <w:lang w:val="ru-RU"/>
        </w:rPr>
      </w:pPr>
      <w:r w:rsidRPr="007E7BFA">
        <w:rPr>
          <w:rFonts w:ascii="Times New Roman" w:hAnsi="Times New Roman"/>
          <w:lang w:val="ru-RU" w:eastAsia="ru-RU" w:bidi="ar-SA"/>
        </w:rPr>
        <w:t xml:space="preserve">-увеличением </w:t>
      </w:r>
      <w:r w:rsidR="008A5168">
        <w:rPr>
          <w:rFonts w:ascii="Times New Roman" w:hAnsi="Times New Roman"/>
          <w:lang w:val="ru-RU" w:eastAsia="ru-RU" w:bidi="ar-SA"/>
        </w:rPr>
        <w:t xml:space="preserve">расчетной </w:t>
      </w:r>
      <w:r w:rsidRPr="007E7BFA">
        <w:rPr>
          <w:rFonts w:ascii="Times New Roman" w:hAnsi="Times New Roman"/>
          <w:lang w:val="ru-RU" w:eastAsia="ru-RU" w:bidi="ar-SA"/>
        </w:rPr>
        <w:t>потребности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="00F356F8">
        <w:rPr>
          <w:rFonts w:ascii="Times New Roman" w:hAnsi="Times New Roman"/>
          <w:lang w:val="ru-RU" w:eastAsia="ru-RU" w:bidi="ar-SA"/>
        </w:rPr>
        <w:t xml:space="preserve">в межбюджетных трансфертах, необходимых для </w:t>
      </w:r>
      <w:r w:rsidR="008A5168">
        <w:rPr>
          <w:rFonts w:ascii="Times New Roman" w:hAnsi="Times New Roman"/>
          <w:lang w:val="ru-RU" w:eastAsia="ru-RU" w:bidi="ar-SA"/>
        </w:rPr>
        <w:t xml:space="preserve">предоставления субвенций муниципальным образованиям </w:t>
      </w:r>
      <w:r w:rsidR="00F356F8">
        <w:rPr>
          <w:rFonts w:ascii="Times New Roman" w:hAnsi="Times New Roman"/>
          <w:lang w:val="ru-RU" w:eastAsia="ru-RU" w:bidi="ar-SA"/>
        </w:rPr>
        <w:t>(0502).</w:t>
      </w:r>
      <w:r w:rsidR="00C83186" w:rsidRPr="007E7BFA">
        <w:rPr>
          <w:rFonts w:ascii="Times New Roman" w:hAnsi="Times New Roman"/>
        </w:rPr>
        <w:t> </w:t>
      </w:r>
    </w:p>
    <w:p w14:paraId="2E0288F7" w14:textId="1C917DB7" w:rsidR="008A5168" w:rsidRDefault="00CA6FAE" w:rsidP="008A5168">
      <w:pPr>
        <w:pStyle w:val="11"/>
        <w:ind w:firstLine="709"/>
        <w:jc w:val="both"/>
      </w:pPr>
      <w:r w:rsidRPr="007E7BFA">
        <w:rPr>
          <w:rFonts w:eastAsia="MS Mincho"/>
          <w:lang w:eastAsia="ja-JP"/>
        </w:rPr>
        <w:t>Касс</w:t>
      </w:r>
      <w:r w:rsidRPr="00D15FB4">
        <w:rPr>
          <w:rFonts w:eastAsia="MS Mincho"/>
          <w:lang w:eastAsia="ja-JP"/>
        </w:rPr>
        <w:t>овые расходы К</w:t>
      </w:r>
      <w:r w:rsidR="00C76D76" w:rsidRPr="00D15FB4">
        <w:rPr>
          <w:rFonts w:eastAsia="MS Mincho"/>
          <w:lang w:eastAsia="ja-JP"/>
        </w:rPr>
        <w:t xml:space="preserve">ТР </w:t>
      </w:r>
      <w:r w:rsidRPr="00D15FB4">
        <w:rPr>
          <w:rFonts w:eastAsia="MS Mincho"/>
          <w:lang w:eastAsia="ja-JP"/>
        </w:rPr>
        <w:t xml:space="preserve"> за 20</w:t>
      </w:r>
      <w:r w:rsidR="00B812DC" w:rsidRPr="00D15FB4">
        <w:rPr>
          <w:rFonts w:eastAsia="MS Mincho"/>
          <w:lang w:eastAsia="ja-JP"/>
        </w:rPr>
        <w:t xml:space="preserve">20 </w:t>
      </w:r>
      <w:r w:rsidRPr="00D15FB4">
        <w:rPr>
          <w:rFonts w:eastAsia="MS Mincho"/>
          <w:lang w:eastAsia="ja-JP"/>
        </w:rPr>
        <w:t xml:space="preserve">год составили </w:t>
      </w:r>
      <w:r w:rsidR="00405CBB" w:rsidRPr="00D15FB4">
        <w:rPr>
          <w:rFonts w:eastAsia="MS Mincho"/>
          <w:lang w:eastAsia="ja-JP"/>
        </w:rPr>
        <w:t xml:space="preserve">984859,7 </w:t>
      </w:r>
      <w:r w:rsidRPr="00D15FB4">
        <w:rPr>
          <w:rFonts w:eastAsia="MS Mincho"/>
          <w:lang w:eastAsia="ja-JP"/>
        </w:rPr>
        <w:t>тыс. руб., или 9</w:t>
      </w:r>
      <w:r w:rsidR="00405CBB" w:rsidRPr="00D15FB4">
        <w:rPr>
          <w:rFonts w:eastAsia="MS Mincho"/>
          <w:lang w:eastAsia="ja-JP"/>
        </w:rPr>
        <w:t>9,2</w:t>
      </w:r>
      <w:r w:rsidRPr="00D15FB4">
        <w:rPr>
          <w:rFonts w:eastAsia="MS Mincho"/>
          <w:lang w:eastAsia="ja-JP"/>
        </w:rPr>
        <w:t xml:space="preserve">% к бюджетным назначениям. </w:t>
      </w:r>
      <w:r w:rsidRPr="00D15FB4">
        <w:t xml:space="preserve">Исполнение расходов Комитета в разрезе подразделов отражено в таблице </w:t>
      </w:r>
      <w:r w:rsidR="00FC16FE">
        <w:t>3</w:t>
      </w:r>
      <w:r w:rsidR="00335776" w:rsidRPr="00D15FB4">
        <w:t>.</w:t>
      </w:r>
      <w:r w:rsidR="008A5168">
        <w:t xml:space="preserve">    </w:t>
      </w:r>
    </w:p>
    <w:p w14:paraId="55EC2C51" w14:textId="7AB1219A" w:rsidR="0002269B" w:rsidRPr="00D15FB4" w:rsidRDefault="00FC16FE" w:rsidP="008A5168">
      <w:pPr>
        <w:pStyle w:val="11"/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8A5168">
        <w:rPr>
          <w:rFonts w:eastAsiaTheme="minorHAnsi"/>
          <w:i/>
          <w:sz w:val="22"/>
          <w:szCs w:val="22"/>
          <w:lang w:eastAsia="en-US"/>
        </w:rPr>
        <w:t xml:space="preserve">          </w:t>
      </w:r>
      <w:r w:rsidR="00995EDD">
        <w:rPr>
          <w:rFonts w:eastAsiaTheme="minorHAnsi"/>
          <w:i/>
          <w:sz w:val="22"/>
          <w:szCs w:val="22"/>
          <w:lang w:eastAsia="en-US"/>
        </w:rPr>
        <w:t xml:space="preserve">                  </w:t>
      </w:r>
      <w:r w:rsidR="00FC404A" w:rsidRPr="00D15FB4">
        <w:rPr>
          <w:rFonts w:eastAsiaTheme="minorHAnsi"/>
          <w:i/>
          <w:sz w:val="22"/>
          <w:szCs w:val="22"/>
          <w:lang w:eastAsia="en-US"/>
        </w:rPr>
        <w:t xml:space="preserve">Таблица </w:t>
      </w:r>
      <w:r w:rsidR="00FC404A">
        <w:rPr>
          <w:rFonts w:eastAsiaTheme="minorHAnsi"/>
          <w:i/>
          <w:sz w:val="22"/>
          <w:szCs w:val="22"/>
          <w:lang w:eastAsia="en-US"/>
        </w:rPr>
        <w:t>3</w:t>
      </w:r>
      <w:r w:rsidR="00FC404A" w:rsidRPr="00D15FB4">
        <w:rPr>
          <w:rFonts w:eastAsiaTheme="minorHAnsi"/>
          <w:i/>
          <w:sz w:val="22"/>
          <w:szCs w:val="22"/>
          <w:lang w:eastAsia="en-US"/>
        </w:rPr>
        <w:t xml:space="preserve"> (тыс. руб.)</w:t>
      </w:r>
      <w:r w:rsidR="00995EDD">
        <w:rPr>
          <w:rFonts w:eastAsiaTheme="minorHAnsi"/>
          <w:i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="008A5168">
        <w:rPr>
          <w:rFonts w:eastAsiaTheme="minorHAnsi"/>
          <w:i/>
          <w:sz w:val="22"/>
          <w:szCs w:val="22"/>
          <w:lang w:eastAsia="en-US"/>
        </w:rPr>
        <w:t xml:space="preserve">    </w:t>
      </w:r>
    </w:p>
    <w:tbl>
      <w:tblPr>
        <w:tblpPr w:leftFromText="180" w:rightFromText="180" w:vertAnchor="text" w:tblpX="216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586"/>
        <w:gridCol w:w="783"/>
        <w:gridCol w:w="1059"/>
        <w:gridCol w:w="1134"/>
        <w:gridCol w:w="1350"/>
        <w:gridCol w:w="993"/>
        <w:gridCol w:w="992"/>
        <w:gridCol w:w="992"/>
      </w:tblGrid>
      <w:tr w:rsidR="00A51A40" w:rsidRPr="00D15FB4" w14:paraId="3F26D8BA" w14:textId="77777777" w:rsidTr="00335776">
        <w:trPr>
          <w:trHeight w:val="481"/>
        </w:trPr>
        <w:tc>
          <w:tcPr>
            <w:tcW w:w="258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4D6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  <w:t>Наименование подразделов</w:t>
            </w:r>
          </w:p>
        </w:tc>
        <w:tc>
          <w:tcPr>
            <w:tcW w:w="7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47C8" w14:textId="63F965A3" w:rsidR="00CA6FAE" w:rsidRPr="00D15FB4" w:rsidRDefault="00CA6FAE" w:rsidP="00A51A40">
            <w:pPr>
              <w:ind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21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AF07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  <w:t>Утверждено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848C" w14:textId="77777777" w:rsidR="00CA6FAE" w:rsidRPr="00D15FB4" w:rsidRDefault="00CA6FAE" w:rsidP="00A51A40">
            <w:pPr>
              <w:ind w:left="-33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  <w:t>Лимиты бюджетных обязательств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C301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  <w:t>Испол-нено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84D687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  <w:t>К бюджетной росписи</w:t>
            </w:r>
          </w:p>
        </w:tc>
      </w:tr>
      <w:tr w:rsidR="00A51A40" w:rsidRPr="00D15FB4" w14:paraId="6A3AF2D0" w14:textId="77777777" w:rsidTr="00335776">
        <w:trPr>
          <w:trHeight w:val="559"/>
        </w:trPr>
        <w:tc>
          <w:tcPr>
            <w:tcW w:w="258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552FC3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161DA9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C3B9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  <w:t>Законом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5644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  <w:t>Бюджет</w:t>
            </w:r>
            <w:r w:rsidR="00A51A40"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  <w:t>-</w:t>
            </w:r>
            <w:r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ной росписью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93422D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5E7929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84F" w14:textId="77777777" w:rsidR="00CA6FAE" w:rsidRPr="00D15FB4" w:rsidRDefault="00CA6FAE" w:rsidP="003176D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Откло</w:t>
            </w:r>
            <w:r w:rsidR="008E6A3E"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  <w:t>-</w:t>
            </w:r>
            <w:r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нение</w:t>
            </w:r>
            <w:r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  <w:t xml:space="preserve"> (гр.6-гр.4)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F49D14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% исполне</w:t>
            </w:r>
            <w:r w:rsidR="00A51A40"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  <w:t>-</w:t>
            </w:r>
            <w:r w:rsidRPr="00D15FB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ния</w:t>
            </w:r>
          </w:p>
        </w:tc>
      </w:tr>
      <w:tr w:rsidR="00A51A40" w:rsidRPr="00D15FB4" w14:paraId="566524C9" w14:textId="77777777" w:rsidTr="00335776">
        <w:trPr>
          <w:trHeight w:val="249"/>
        </w:trPr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FAA3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40B0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0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9B58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15FB4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F1A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403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D939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00AE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C9C3B1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8</w:t>
            </w:r>
          </w:p>
        </w:tc>
      </w:tr>
      <w:tr w:rsidR="00A51A40" w:rsidRPr="00D15FB4" w14:paraId="071E63C4" w14:textId="77777777" w:rsidTr="00335776">
        <w:trPr>
          <w:trHeight w:val="249"/>
        </w:trPr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086F" w14:textId="77777777" w:rsidR="00A51A40" w:rsidRPr="00D15FB4" w:rsidRDefault="00CA6FAE" w:rsidP="00A51A40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Всего по Комитету</w:t>
            </w:r>
            <w:r w:rsidR="00A51A40" w:rsidRPr="00D15FB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</w:p>
          <w:p w14:paraId="36ED3136" w14:textId="77777777" w:rsidR="00CA6FAE" w:rsidRPr="00D15FB4" w:rsidRDefault="00A51A40" w:rsidP="008F14BB">
            <w:pP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в том числе</w:t>
            </w:r>
            <w:r w:rsidR="008F14BB" w:rsidRPr="00D15FB4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C8DF" w14:textId="77777777" w:rsidR="00CA6FAE" w:rsidRPr="00D15FB4" w:rsidRDefault="00CA6FAE" w:rsidP="00A51A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0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9AA" w14:textId="77777777" w:rsidR="00CA6FAE" w:rsidRPr="00D15FB4" w:rsidRDefault="008F14BB" w:rsidP="00A51A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888042,1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C2C1" w14:textId="77777777" w:rsidR="00CA6FAE" w:rsidRPr="00D15FB4" w:rsidRDefault="008F14BB" w:rsidP="00A51A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992956,3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3157" w14:textId="77777777" w:rsidR="00CA6FAE" w:rsidRPr="00D15FB4" w:rsidRDefault="008F14BB" w:rsidP="006A45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992865,</w:t>
            </w:r>
            <w:r w:rsidR="006A458D" w:rsidRPr="00D15FB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BE87" w14:textId="77777777" w:rsidR="00CA6FAE" w:rsidRPr="00D15FB4" w:rsidRDefault="008F14BB" w:rsidP="00A51A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984859,7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3EC5" w14:textId="77777777" w:rsidR="00CA6FAE" w:rsidRPr="00D15FB4" w:rsidRDefault="006A458D" w:rsidP="009309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- 8096,</w:t>
            </w:r>
            <w:r w:rsidR="009309AB" w:rsidRPr="00D15FB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FCD03FA" w14:textId="77777777" w:rsidR="00CA6FAE" w:rsidRPr="00D15FB4" w:rsidRDefault="006A458D" w:rsidP="00405CB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99,</w:t>
            </w:r>
            <w:r w:rsidR="00405CBB" w:rsidRPr="00D15FB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</w:tr>
      <w:tr w:rsidR="00A51A40" w:rsidRPr="00D15FB4" w14:paraId="391452F0" w14:textId="77777777" w:rsidTr="00335776">
        <w:trPr>
          <w:trHeight w:val="281"/>
        </w:trPr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16CB" w14:textId="77777777" w:rsidR="00CA6FAE" w:rsidRPr="00D15FB4" w:rsidRDefault="008F14BB" w:rsidP="008F14B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Мобилизационная подготовка экономики</w:t>
            </w:r>
          </w:p>
        </w:tc>
        <w:tc>
          <w:tcPr>
            <w:tcW w:w="7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3341" w14:textId="77777777" w:rsidR="00CA6FAE" w:rsidRPr="00D15FB4" w:rsidRDefault="008F14BB" w:rsidP="00A51A4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0204</w:t>
            </w:r>
          </w:p>
        </w:tc>
        <w:tc>
          <w:tcPr>
            <w:tcW w:w="10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FF5B" w14:textId="77777777" w:rsidR="00CA6FAE" w:rsidRPr="00D15FB4" w:rsidRDefault="008F14BB" w:rsidP="00A51A4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150,0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2F7B" w14:textId="77777777" w:rsidR="00CA6FAE" w:rsidRPr="00D15FB4" w:rsidRDefault="008F14BB" w:rsidP="00A51A4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214,2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7166" w14:textId="77777777" w:rsidR="00CA6FAE" w:rsidRPr="00D15FB4" w:rsidRDefault="008F14BB" w:rsidP="00C76D76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</w:t>
            </w:r>
            <w:r w:rsidR="006A458D"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4,</w:t>
            </w:r>
            <w:r w:rsidR="00C76D76"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4FAB" w14:textId="77777777" w:rsidR="00CA6FAE" w:rsidRPr="00D15FB4" w:rsidRDefault="008F14BB" w:rsidP="006A458D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</w:t>
            </w:r>
            <w:r w:rsidR="006A458D"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  <w:r w:rsidR="006A458D"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FF1A" w14:textId="77777777" w:rsidR="00CA6FAE" w:rsidRPr="00D15FB4" w:rsidRDefault="006A458D" w:rsidP="00A51A4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- 2,3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187A31" w14:textId="77777777" w:rsidR="00CA6FAE" w:rsidRPr="00D15FB4" w:rsidRDefault="006A458D" w:rsidP="00A51A4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98,9</w:t>
            </w:r>
          </w:p>
        </w:tc>
      </w:tr>
      <w:tr w:rsidR="008F14BB" w:rsidRPr="00D15FB4" w14:paraId="16488E7B" w14:textId="77777777" w:rsidTr="00335776">
        <w:trPr>
          <w:trHeight w:val="356"/>
        </w:trPr>
        <w:tc>
          <w:tcPr>
            <w:tcW w:w="25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904F" w14:textId="77777777" w:rsidR="008F14BB" w:rsidRPr="00D15FB4" w:rsidRDefault="008F14BB" w:rsidP="00A51A4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Общеэкономические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1FB6" w14:textId="77777777" w:rsidR="008F14BB" w:rsidRPr="00D15FB4" w:rsidRDefault="008F14BB" w:rsidP="00A51A4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4A01" w14:textId="77777777" w:rsidR="008F14BB" w:rsidRPr="00D15FB4" w:rsidRDefault="008F14BB" w:rsidP="008E6A3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58232,8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EDBE" w14:textId="77777777" w:rsidR="008F14BB" w:rsidRPr="00D15FB4" w:rsidRDefault="008F14BB" w:rsidP="008E6A3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</w:t>
            </w:r>
            <w:r w:rsidR="008E6A3E"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175,4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62A6" w14:textId="77777777" w:rsidR="008F14BB" w:rsidRPr="00D15FB4" w:rsidRDefault="008E6A3E" w:rsidP="00A51A4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63084,8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EDC" w14:textId="77777777" w:rsidR="008F14BB" w:rsidRPr="00D15FB4" w:rsidRDefault="008E6A3E" w:rsidP="00A51A4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62988,6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85D7" w14:textId="77777777" w:rsidR="008F14BB" w:rsidRPr="00D15FB4" w:rsidRDefault="006A458D" w:rsidP="00A51A4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287620" w14:textId="77777777" w:rsidR="008F14BB" w:rsidRPr="00D15FB4" w:rsidRDefault="006A458D" w:rsidP="00A51A4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99,7</w:t>
            </w:r>
          </w:p>
        </w:tc>
      </w:tr>
      <w:tr w:rsidR="008E6A3E" w:rsidRPr="00D15FB4" w14:paraId="732897D0" w14:textId="77777777" w:rsidTr="00335776">
        <w:trPr>
          <w:trHeight w:val="356"/>
        </w:trPr>
        <w:tc>
          <w:tcPr>
            <w:tcW w:w="258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CAE3" w14:textId="77777777" w:rsidR="008E6A3E" w:rsidRPr="00D15FB4" w:rsidRDefault="008E6A3E" w:rsidP="008F14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6E3D" w14:textId="77777777" w:rsidR="008E6A3E" w:rsidRPr="00D15FB4" w:rsidRDefault="008E6A3E" w:rsidP="008F14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D2BB" w14:textId="77777777" w:rsidR="008E6A3E" w:rsidRPr="00D15FB4" w:rsidRDefault="008E6A3E" w:rsidP="008F14B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829659,3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2F18" w14:textId="77777777" w:rsidR="008E6A3E" w:rsidRPr="00D15FB4" w:rsidRDefault="008E6A3E" w:rsidP="008F14B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929566,6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796B" w14:textId="77777777" w:rsidR="008E6A3E" w:rsidRPr="00D15FB4" w:rsidRDefault="008E6A3E" w:rsidP="008F14B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929566,6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E593" w14:textId="77777777" w:rsidR="008E6A3E" w:rsidRPr="00D15FB4" w:rsidRDefault="008E6A3E" w:rsidP="008F14B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921659,2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FADC" w14:textId="77777777" w:rsidR="008E6A3E" w:rsidRPr="00D15FB4" w:rsidRDefault="006A458D" w:rsidP="008F14B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- 7907,4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48CE8C" w14:textId="77777777" w:rsidR="008E6A3E" w:rsidRPr="00D15FB4" w:rsidRDefault="006A458D" w:rsidP="008F14B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99,</w:t>
            </w:r>
            <w:r w:rsidR="00137BFD"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</w:tbl>
    <w:p w14:paraId="77550749" w14:textId="77777777" w:rsidR="00CA6FAE" w:rsidRPr="00D15FB4" w:rsidRDefault="00CA6FAE" w:rsidP="00CA6FAE">
      <w:pPr>
        <w:ind w:firstLine="567"/>
        <w:jc w:val="both"/>
        <w:rPr>
          <w:rFonts w:ascii="Times New Roman" w:hAnsi="Times New Roman"/>
          <w:i/>
          <w:u w:val="single"/>
          <w:lang w:val="ru-RU"/>
        </w:rPr>
      </w:pPr>
    </w:p>
    <w:p w14:paraId="4D275A5A" w14:textId="3967F39B" w:rsidR="00561A9E" w:rsidRPr="00561A9E" w:rsidRDefault="00CA6FAE" w:rsidP="00561A9E">
      <w:pPr>
        <w:pStyle w:val="a7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A9E">
        <w:rPr>
          <w:rFonts w:ascii="Times New Roman" w:hAnsi="Times New Roman"/>
          <w:i/>
          <w:sz w:val="24"/>
          <w:szCs w:val="24"/>
        </w:rPr>
        <w:lastRenderedPageBreak/>
        <w:t xml:space="preserve">По </w:t>
      </w:r>
      <w:r w:rsidRPr="00561A9E">
        <w:rPr>
          <w:rFonts w:ascii="Times New Roman" w:hAnsi="Times New Roman"/>
          <w:i/>
          <w:sz w:val="24"/>
          <w:szCs w:val="24"/>
          <w:lang w:eastAsia="ru-RU"/>
        </w:rPr>
        <w:t xml:space="preserve">подразделу 0502 </w:t>
      </w:r>
      <w:r w:rsidRPr="00561A9E">
        <w:rPr>
          <w:rFonts w:ascii="Times New Roman" w:hAnsi="Times New Roman"/>
          <w:i/>
          <w:sz w:val="24"/>
          <w:szCs w:val="24"/>
        </w:rPr>
        <w:t>«Коммунальное хозяйств</w:t>
      </w:r>
      <w:r w:rsidR="00EA4386" w:rsidRPr="00561A9E">
        <w:rPr>
          <w:rFonts w:ascii="Times New Roman" w:hAnsi="Times New Roman"/>
          <w:i/>
          <w:sz w:val="24"/>
          <w:szCs w:val="24"/>
        </w:rPr>
        <w:t>о</w:t>
      </w:r>
      <w:r w:rsidRPr="00561A9E">
        <w:rPr>
          <w:rFonts w:ascii="Times New Roman" w:hAnsi="Times New Roman"/>
          <w:i/>
          <w:sz w:val="24"/>
          <w:szCs w:val="24"/>
        </w:rPr>
        <w:t xml:space="preserve">» </w:t>
      </w:r>
      <w:r w:rsidRPr="00561A9E">
        <w:rPr>
          <w:rFonts w:ascii="Times New Roman" w:hAnsi="Times New Roman"/>
          <w:sz w:val="24"/>
          <w:szCs w:val="24"/>
        </w:rPr>
        <w:t xml:space="preserve">расходы </w:t>
      </w:r>
      <w:r w:rsidRPr="00561A9E">
        <w:rPr>
          <w:rFonts w:ascii="Times New Roman" w:eastAsia="MS Mincho" w:hAnsi="Times New Roman"/>
          <w:sz w:val="24"/>
          <w:szCs w:val="24"/>
          <w:lang w:eastAsia="ja-JP"/>
        </w:rPr>
        <w:t xml:space="preserve">субвенции на компенсацию выпадающих доходов ресурсоснабжающих организаций, связанных с применением льготных тарифов на коммунальные услуги и техническую воду, поставляемые населению </w:t>
      </w:r>
      <w:r w:rsidRPr="00561A9E">
        <w:rPr>
          <w:rFonts w:ascii="Times New Roman" w:hAnsi="Times New Roman"/>
          <w:sz w:val="24"/>
          <w:szCs w:val="24"/>
        </w:rPr>
        <w:t xml:space="preserve">составили </w:t>
      </w:r>
      <w:r w:rsidR="0022484B" w:rsidRPr="00561A9E">
        <w:rPr>
          <w:rFonts w:ascii="Times New Roman" w:hAnsi="Times New Roman"/>
          <w:sz w:val="24"/>
          <w:szCs w:val="24"/>
        </w:rPr>
        <w:t>921659,2</w:t>
      </w:r>
      <w:r w:rsidRPr="00561A9E">
        <w:rPr>
          <w:rFonts w:ascii="Times New Roman" w:hAnsi="Times New Roman"/>
          <w:sz w:val="24"/>
          <w:szCs w:val="24"/>
        </w:rPr>
        <w:t xml:space="preserve"> тыс. руб., или </w:t>
      </w:r>
      <w:r w:rsidR="0022484B" w:rsidRPr="00561A9E">
        <w:rPr>
          <w:rFonts w:ascii="Times New Roman" w:hAnsi="Times New Roman"/>
          <w:sz w:val="24"/>
          <w:szCs w:val="24"/>
        </w:rPr>
        <w:t>99,1</w:t>
      </w:r>
      <w:r w:rsidRPr="00561A9E">
        <w:rPr>
          <w:rFonts w:ascii="Times New Roman" w:hAnsi="Times New Roman"/>
          <w:sz w:val="24"/>
          <w:szCs w:val="24"/>
        </w:rPr>
        <w:t>% от бюджетных назначений</w:t>
      </w:r>
      <w:r w:rsidR="0022484B" w:rsidRPr="00561A9E">
        <w:rPr>
          <w:rFonts w:ascii="Times New Roman" w:hAnsi="Times New Roman"/>
          <w:sz w:val="24"/>
          <w:szCs w:val="24"/>
        </w:rPr>
        <w:t xml:space="preserve"> </w:t>
      </w:r>
      <w:r w:rsidRPr="00561A9E">
        <w:rPr>
          <w:rFonts w:ascii="Times New Roman" w:hAnsi="Times New Roman"/>
          <w:sz w:val="24"/>
          <w:szCs w:val="24"/>
        </w:rPr>
        <w:t xml:space="preserve">и </w:t>
      </w:r>
      <w:r w:rsidRPr="00561A9E">
        <w:rPr>
          <w:rFonts w:ascii="Times New Roman" w:hAnsi="Times New Roman"/>
          <w:sz w:val="24"/>
          <w:szCs w:val="24"/>
          <w:lang w:eastAsia="ru-RU"/>
        </w:rPr>
        <w:t>лимитов бюджетных обязательств</w:t>
      </w:r>
      <w:r w:rsidR="0022484B" w:rsidRPr="00561A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484B" w:rsidRPr="00561A9E">
        <w:rPr>
          <w:rFonts w:ascii="Times New Roman" w:hAnsi="Times New Roman"/>
          <w:sz w:val="24"/>
          <w:szCs w:val="24"/>
        </w:rPr>
        <w:t>(929566,6 тыс. руб</w:t>
      </w:r>
      <w:r w:rsidR="00E66BB7" w:rsidRPr="00561A9E">
        <w:rPr>
          <w:rFonts w:ascii="Times New Roman" w:hAnsi="Times New Roman"/>
          <w:sz w:val="24"/>
          <w:szCs w:val="24"/>
        </w:rPr>
        <w:t>лей</w:t>
      </w:r>
      <w:r w:rsidR="0022484B" w:rsidRPr="00561A9E">
        <w:rPr>
          <w:rFonts w:ascii="Times New Roman" w:hAnsi="Times New Roman"/>
          <w:sz w:val="24"/>
          <w:szCs w:val="24"/>
        </w:rPr>
        <w:t>)</w:t>
      </w:r>
      <w:r w:rsidRPr="00561A9E">
        <w:rPr>
          <w:rFonts w:ascii="Times New Roman" w:hAnsi="Times New Roman"/>
          <w:sz w:val="24"/>
          <w:szCs w:val="24"/>
          <w:lang w:eastAsia="ru-RU"/>
        </w:rPr>
        <w:t>.</w:t>
      </w:r>
      <w:r w:rsidR="00DC165F" w:rsidRPr="00561A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1A9E" w:rsidRPr="00561A9E">
        <w:rPr>
          <w:rFonts w:ascii="Times New Roman" w:hAnsi="Times New Roman"/>
          <w:sz w:val="24"/>
          <w:szCs w:val="24"/>
        </w:rPr>
        <w:t xml:space="preserve">Неисполнение бюджетных назначений сложилось в связи с перечислением городскому округу город-герой Волгоград межбюджетных трансфертов на 7907,4 тыс. руб. меньше, то есть в пределах сумм, необходимых для оплаты денежных обязательств. </w:t>
      </w:r>
    </w:p>
    <w:p w14:paraId="4F516280" w14:textId="77777777" w:rsidR="00995EDD" w:rsidRDefault="00995EDD" w:rsidP="00D30A42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03C9E99" w14:textId="77777777" w:rsidR="00D30A42" w:rsidRPr="00D15FB4" w:rsidRDefault="00D30A42" w:rsidP="00D30A42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15FB4">
        <w:rPr>
          <w:rFonts w:ascii="Times New Roman" w:hAnsi="Times New Roman"/>
          <w:b/>
          <w:sz w:val="24"/>
          <w:szCs w:val="24"/>
        </w:rPr>
        <w:t xml:space="preserve">Сравнительный анализ показателей </w:t>
      </w:r>
    </w:p>
    <w:p w14:paraId="309CFBBF" w14:textId="77777777" w:rsidR="00473D9C" w:rsidRPr="00D15FB4" w:rsidRDefault="00D30A42" w:rsidP="00D30A42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15FB4">
        <w:rPr>
          <w:rFonts w:ascii="Times New Roman" w:hAnsi="Times New Roman"/>
          <w:b/>
          <w:sz w:val="24"/>
          <w:szCs w:val="24"/>
        </w:rPr>
        <w:t>исполнения расходов областного бюджета КТР за 2019 и 2020 годы</w:t>
      </w:r>
    </w:p>
    <w:p w14:paraId="11728FA7" w14:textId="77777777" w:rsidR="0039653E" w:rsidRDefault="00473D9C" w:rsidP="0039653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FB4">
        <w:rPr>
          <w:rFonts w:ascii="Times New Roman" w:hAnsi="Times New Roman"/>
          <w:sz w:val="24"/>
          <w:szCs w:val="24"/>
        </w:rPr>
        <w:t>Сравнительный анализ показателей исполнения областного бюджета Комитета за 2019 и 2020</w:t>
      </w:r>
      <w:r w:rsidR="0039653E">
        <w:rPr>
          <w:rFonts w:ascii="Times New Roman" w:hAnsi="Times New Roman"/>
          <w:sz w:val="24"/>
          <w:szCs w:val="24"/>
        </w:rPr>
        <w:t xml:space="preserve"> </w:t>
      </w:r>
      <w:r w:rsidRPr="00D15FB4">
        <w:rPr>
          <w:rFonts w:ascii="Times New Roman" w:hAnsi="Times New Roman"/>
          <w:sz w:val="24"/>
          <w:szCs w:val="24"/>
        </w:rPr>
        <w:t xml:space="preserve">годы приведен в таблице </w:t>
      </w:r>
      <w:r w:rsidR="00FC16FE">
        <w:rPr>
          <w:rFonts w:ascii="Times New Roman" w:hAnsi="Times New Roman"/>
          <w:sz w:val="24"/>
          <w:szCs w:val="24"/>
        </w:rPr>
        <w:t>4</w:t>
      </w:r>
      <w:r w:rsidRPr="00D15FB4">
        <w:rPr>
          <w:rFonts w:ascii="Times New Roman" w:hAnsi="Times New Roman"/>
          <w:sz w:val="24"/>
          <w:szCs w:val="24"/>
        </w:rPr>
        <w:t>.</w:t>
      </w:r>
    </w:p>
    <w:p w14:paraId="72FDC38B" w14:textId="14D3D299" w:rsidR="0045545A" w:rsidRPr="00D15FB4" w:rsidRDefault="00473D9C" w:rsidP="0039653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15FB4">
        <w:rPr>
          <w:rFonts w:ascii="Times New Roman" w:hAnsi="Times New Roman"/>
          <w:sz w:val="24"/>
          <w:szCs w:val="24"/>
        </w:rPr>
        <w:t xml:space="preserve">   </w:t>
      </w:r>
      <w:r w:rsidR="00157BF0">
        <w:rPr>
          <w:rFonts w:ascii="Times New Roman" w:hAnsi="Times New Roman"/>
          <w:i/>
        </w:rPr>
        <w:t xml:space="preserve">                                                                                                               </w:t>
      </w:r>
      <w:r w:rsidR="00FC404A">
        <w:rPr>
          <w:rFonts w:ascii="Times New Roman" w:hAnsi="Times New Roman"/>
          <w:i/>
        </w:rPr>
        <w:t xml:space="preserve">          </w:t>
      </w:r>
      <w:r w:rsidR="00157BF0">
        <w:rPr>
          <w:rFonts w:ascii="Times New Roman" w:hAnsi="Times New Roman"/>
          <w:i/>
        </w:rPr>
        <w:t xml:space="preserve"> </w:t>
      </w:r>
      <w:r w:rsidR="0045545A" w:rsidRPr="00D15FB4">
        <w:rPr>
          <w:rFonts w:ascii="Times New Roman" w:hAnsi="Times New Roman"/>
          <w:i/>
        </w:rPr>
        <w:t xml:space="preserve">Таблица </w:t>
      </w:r>
      <w:r w:rsidR="00FC16FE">
        <w:rPr>
          <w:rFonts w:ascii="Times New Roman" w:hAnsi="Times New Roman"/>
          <w:i/>
        </w:rPr>
        <w:t>4</w:t>
      </w:r>
      <w:r w:rsidR="0045545A" w:rsidRPr="00D15FB4">
        <w:rPr>
          <w:rFonts w:ascii="Times New Roman" w:hAnsi="Times New Roman"/>
          <w:i/>
        </w:rPr>
        <w:t xml:space="preserve"> (тыс. руб.)</w:t>
      </w:r>
    </w:p>
    <w:tbl>
      <w:tblPr>
        <w:tblW w:w="978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992"/>
        <w:gridCol w:w="993"/>
        <w:gridCol w:w="1134"/>
        <w:gridCol w:w="992"/>
      </w:tblGrid>
      <w:tr w:rsidR="00D414CD" w:rsidRPr="00D15FB4" w14:paraId="3B5D4690" w14:textId="77777777" w:rsidTr="00BD344F">
        <w:trPr>
          <w:trHeight w:val="290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43AF73" w14:textId="77777777" w:rsidR="00AC30C5" w:rsidRPr="00D15FB4" w:rsidRDefault="00AC30C5" w:rsidP="000F1A5D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AE7D4F" w14:textId="77777777" w:rsidR="00AC30C5" w:rsidRPr="00D15FB4" w:rsidRDefault="00AC30C5" w:rsidP="00AC30C5">
            <w:pPr>
              <w:ind w:right="-30"/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Подраздел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0A11D3" w14:textId="77777777" w:rsidR="00AC30C5" w:rsidRPr="00D15FB4" w:rsidRDefault="00AC30C5" w:rsidP="000F1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5A821F" w14:textId="77777777" w:rsidR="00AC30C5" w:rsidRPr="00D15FB4" w:rsidRDefault="00AC30C5" w:rsidP="000F1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3EE17D" w14:textId="77777777" w:rsidR="00AC30C5" w:rsidRPr="00D15FB4" w:rsidRDefault="00AC30C5" w:rsidP="000F1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Отклонение</w:t>
            </w:r>
          </w:p>
        </w:tc>
      </w:tr>
      <w:tr w:rsidR="00D414CD" w:rsidRPr="00D15FB4" w14:paraId="276C581E" w14:textId="77777777" w:rsidTr="00BD344F">
        <w:trPr>
          <w:trHeight w:val="290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468C71A" w14:textId="77777777" w:rsidR="00AC30C5" w:rsidRPr="00D15FB4" w:rsidRDefault="00AC30C5" w:rsidP="000F1A5D">
            <w:pP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2AADA2E" w14:textId="77777777" w:rsidR="00AC30C5" w:rsidRPr="00D15FB4" w:rsidRDefault="00AC30C5" w:rsidP="000F1A5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F80F738" w14:textId="77777777" w:rsidR="00AC30C5" w:rsidRPr="00D15FB4" w:rsidRDefault="00AC30C5" w:rsidP="000F1A5D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198F763" w14:textId="77777777" w:rsidR="00AC30C5" w:rsidRPr="00D15FB4" w:rsidRDefault="00AC30C5" w:rsidP="000F1A5D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5754D9" w14:textId="77777777" w:rsidR="00AC30C5" w:rsidRPr="00D15FB4" w:rsidRDefault="00AC30C5" w:rsidP="000F1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/>
              </w:rPr>
              <w:t>тыс. руб.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5EF868" w14:textId="77777777" w:rsidR="00AC30C5" w:rsidRPr="00D15FB4" w:rsidRDefault="00AC30C5" w:rsidP="000F1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</w:tr>
      <w:tr w:rsidR="00D414CD" w:rsidRPr="00D15FB4" w14:paraId="69E34B73" w14:textId="77777777" w:rsidTr="00BD344F">
        <w:trPr>
          <w:trHeight w:val="290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7D426E" w14:textId="77777777" w:rsidR="00D414CD" w:rsidRPr="00D15FB4" w:rsidRDefault="00D414CD" w:rsidP="00D414C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A6A2D09" w14:textId="77777777" w:rsidR="00D414CD" w:rsidRPr="00D15FB4" w:rsidRDefault="00D414CD" w:rsidP="00D414C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64E7927" w14:textId="77777777" w:rsidR="00D414CD" w:rsidRPr="00D15FB4" w:rsidRDefault="00D414CD" w:rsidP="00D414C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B8AB791" w14:textId="77777777" w:rsidR="00D414CD" w:rsidRPr="00D15FB4" w:rsidRDefault="00D414CD" w:rsidP="00D414C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3B10CD1" w14:textId="77777777" w:rsidR="00D414CD" w:rsidRPr="00D15FB4" w:rsidRDefault="00D414CD" w:rsidP="00D41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A459148" w14:textId="77777777" w:rsidR="00D414CD" w:rsidRPr="00D15FB4" w:rsidRDefault="00D414CD" w:rsidP="00D41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D414CD" w:rsidRPr="00D15FB4" w14:paraId="51246FC1" w14:textId="77777777" w:rsidTr="00BD344F">
        <w:trPr>
          <w:trHeight w:val="290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D261E1" w14:textId="77777777" w:rsidR="00AC30C5" w:rsidRPr="00D15FB4" w:rsidRDefault="00AC30C5" w:rsidP="00D414CD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Расходы бюджета всего по Комитету,</w:t>
            </w:r>
          </w:p>
          <w:p w14:paraId="5501CC2E" w14:textId="77777777" w:rsidR="00AC30C5" w:rsidRPr="00D15FB4" w:rsidRDefault="00AC30C5" w:rsidP="00D414CD">
            <w:pP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02D993" w14:textId="77777777" w:rsidR="00AC30C5" w:rsidRPr="00D15FB4" w:rsidRDefault="00AC30C5" w:rsidP="00D414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61C694" w14:textId="77777777" w:rsidR="00AC30C5" w:rsidRPr="00D15FB4" w:rsidRDefault="00A53AC6" w:rsidP="00D414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682975,3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0BDE01" w14:textId="77777777" w:rsidR="00AC30C5" w:rsidRPr="00D15FB4" w:rsidRDefault="00D414CD" w:rsidP="00D414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984859,7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5095B7" w14:textId="77777777" w:rsidR="00AC30C5" w:rsidRPr="00D15FB4" w:rsidRDefault="00497737" w:rsidP="00D41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15F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+ 301884,4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8C8703" w14:textId="77777777" w:rsidR="00AC30C5" w:rsidRPr="00D15FB4" w:rsidRDefault="00497737" w:rsidP="00D41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15F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+ 30,6%</w:t>
            </w:r>
          </w:p>
        </w:tc>
      </w:tr>
      <w:tr w:rsidR="00D414CD" w:rsidRPr="00D15FB4" w14:paraId="122A5AB8" w14:textId="77777777" w:rsidTr="00BD344F">
        <w:trPr>
          <w:trHeight w:val="347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E02E01" w14:textId="77777777" w:rsidR="00D414CD" w:rsidRPr="00D15FB4" w:rsidRDefault="00D414CD" w:rsidP="00D414CD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51D5F9" w14:textId="77777777" w:rsidR="00D414CD" w:rsidRPr="00D15FB4" w:rsidRDefault="00D414CD" w:rsidP="00D414CD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0204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8A83CF" w14:textId="77777777" w:rsidR="00D414CD" w:rsidRPr="00D15FB4" w:rsidRDefault="00255022" w:rsidP="00D414CD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EF4136" w14:textId="77777777" w:rsidR="00D414CD" w:rsidRPr="00D15FB4" w:rsidRDefault="00255022" w:rsidP="00D414CD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211,9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A5AA7B" w14:textId="77777777" w:rsidR="00D414CD" w:rsidRPr="00D15FB4" w:rsidRDefault="00497737" w:rsidP="00D41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/>
              </w:rPr>
              <w:t>+  211,9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89FFE2" w14:textId="77777777" w:rsidR="00D414CD" w:rsidRPr="00D15FB4" w:rsidRDefault="00497737" w:rsidP="004977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+ 100%</w:t>
            </w:r>
          </w:p>
        </w:tc>
      </w:tr>
      <w:tr w:rsidR="00D414CD" w:rsidRPr="00D15FB4" w14:paraId="03997DEE" w14:textId="77777777" w:rsidTr="00BD344F">
        <w:trPr>
          <w:trHeight w:val="347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E7019B" w14:textId="77777777" w:rsidR="00AC30C5" w:rsidRPr="00D15FB4" w:rsidRDefault="00AC30C5" w:rsidP="00D41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</w:t>
            </w:r>
            <w:r w:rsidRPr="00D15FB4">
              <w:rPr>
                <w:rFonts w:ascii="Times New Roman" w:hAnsi="Times New Roman"/>
                <w:sz w:val="20"/>
                <w:szCs w:val="20"/>
                <w:lang w:eastAsia="ru-RU"/>
              </w:rPr>
              <w:t>экономи</w:t>
            </w: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ческие вопросы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35A36D" w14:textId="77777777" w:rsidR="00AC30C5" w:rsidRPr="00D15FB4" w:rsidRDefault="00AC30C5" w:rsidP="00D414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CB59D8" w14:textId="77777777" w:rsidR="00AC30C5" w:rsidRPr="00D15FB4" w:rsidRDefault="00A53AC6" w:rsidP="00D414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57821,2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42BE16" w14:textId="77777777" w:rsidR="00AC30C5" w:rsidRPr="00D15FB4" w:rsidRDefault="00255022" w:rsidP="00D414CD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62988,6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832D54" w14:textId="77777777" w:rsidR="00AC30C5" w:rsidRPr="00D15FB4" w:rsidRDefault="00497737" w:rsidP="00D41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/>
              </w:rPr>
              <w:t>+ 5167,4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6ED977" w14:textId="77777777" w:rsidR="00AC30C5" w:rsidRPr="00D15FB4" w:rsidRDefault="00497737" w:rsidP="00D41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+ 8,2%</w:t>
            </w:r>
          </w:p>
        </w:tc>
      </w:tr>
      <w:tr w:rsidR="00D414CD" w:rsidRPr="00D15FB4" w14:paraId="538D76F3" w14:textId="77777777" w:rsidTr="00BD344F">
        <w:trPr>
          <w:trHeight w:val="341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80C2D1" w14:textId="77777777" w:rsidR="00AC30C5" w:rsidRPr="00D15FB4" w:rsidRDefault="00AC30C5" w:rsidP="00D41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BE9DFA" w14:textId="77777777" w:rsidR="00AC30C5" w:rsidRPr="00D15FB4" w:rsidRDefault="00AC30C5" w:rsidP="00D414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BF2F52" w14:textId="77777777" w:rsidR="00AC30C5" w:rsidRPr="00D15FB4" w:rsidRDefault="00A53AC6" w:rsidP="00D414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 w:eastAsia="ru-RU"/>
              </w:rPr>
              <w:t>625154,1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876322" w14:textId="77777777" w:rsidR="00AC30C5" w:rsidRPr="00D15FB4" w:rsidRDefault="00255022" w:rsidP="00D414CD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5FB4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921659,2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F3036B" w14:textId="77777777" w:rsidR="00AC30C5" w:rsidRPr="00D15FB4" w:rsidRDefault="00497737" w:rsidP="00D41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/>
              </w:rPr>
              <w:t>+ 296505,1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D6E149" w14:textId="77777777" w:rsidR="00AC30C5" w:rsidRPr="00D15FB4" w:rsidRDefault="00497737" w:rsidP="00D41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5FB4">
              <w:rPr>
                <w:rFonts w:ascii="Times New Roman" w:hAnsi="Times New Roman"/>
                <w:sz w:val="20"/>
                <w:szCs w:val="20"/>
                <w:lang w:val="ru-RU"/>
              </w:rPr>
              <w:t>+ 32,2%</w:t>
            </w:r>
          </w:p>
        </w:tc>
      </w:tr>
    </w:tbl>
    <w:p w14:paraId="604A2A0D" w14:textId="77777777" w:rsidR="0045545A" w:rsidRPr="00D15FB4" w:rsidRDefault="0045545A" w:rsidP="0045545A">
      <w:pPr>
        <w:ind w:firstLine="708"/>
        <w:jc w:val="both"/>
        <w:rPr>
          <w:rFonts w:ascii="Times New Roman" w:hAnsi="Times New Roman"/>
          <w:lang w:val="ru-RU"/>
        </w:rPr>
      </w:pPr>
      <w:r w:rsidRPr="00D15FB4">
        <w:rPr>
          <w:rFonts w:ascii="Times New Roman" w:hAnsi="Times New Roman"/>
          <w:lang w:val="ru-RU"/>
        </w:rPr>
        <w:t>У</w:t>
      </w:r>
      <w:r w:rsidR="007F0716" w:rsidRPr="00D15FB4">
        <w:rPr>
          <w:rFonts w:ascii="Times New Roman" w:hAnsi="Times New Roman"/>
          <w:lang w:val="ru-RU"/>
        </w:rPr>
        <w:t xml:space="preserve">величение </w:t>
      </w:r>
      <w:r w:rsidRPr="00D15FB4">
        <w:rPr>
          <w:rFonts w:ascii="Times New Roman" w:hAnsi="Times New Roman"/>
          <w:lang w:val="ru-RU"/>
        </w:rPr>
        <w:t>расходов Комитета в 20</w:t>
      </w:r>
      <w:r w:rsidR="007F0716" w:rsidRPr="00D15FB4">
        <w:rPr>
          <w:rFonts w:ascii="Times New Roman" w:hAnsi="Times New Roman"/>
          <w:lang w:val="ru-RU"/>
        </w:rPr>
        <w:t>20</w:t>
      </w:r>
      <w:r w:rsidRPr="00D15FB4">
        <w:rPr>
          <w:rFonts w:ascii="Times New Roman" w:hAnsi="Times New Roman"/>
          <w:lang w:val="ru-RU"/>
        </w:rPr>
        <w:t xml:space="preserve"> году по сравнению с 201</w:t>
      </w:r>
      <w:r w:rsidR="007F0716" w:rsidRPr="00D15FB4">
        <w:rPr>
          <w:rFonts w:ascii="Times New Roman" w:hAnsi="Times New Roman"/>
          <w:lang w:val="ru-RU"/>
        </w:rPr>
        <w:t>9</w:t>
      </w:r>
      <w:r w:rsidRPr="00D15FB4">
        <w:rPr>
          <w:rFonts w:ascii="Times New Roman" w:hAnsi="Times New Roman"/>
          <w:lang w:val="ru-RU"/>
        </w:rPr>
        <w:t xml:space="preserve"> годом </w:t>
      </w:r>
      <w:r w:rsidR="00FC16FE">
        <w:rPr>
          <w:rFonts w:ascii="Times New Roman" w:hAnsi="Times New Roman"/>
          <w:lang w:val="ru-RU"/>
        </w:rPr>
        <w:t>составило</w:t>
      </w:r>
      <w:r w:rsidRPr="00D15FB4">
        <w:rPr>
          <w:rFonts w:ascii="Times New Roman" w:hAnsi="Times New Roman"/>
          <w:lang w:val="ru-RU"/>
        </w:rPr>
        <w:t xml:space="preserve"> </w:t>
      </w:r>
      <w:r w:rsidR="007F0716" w:rsidRPr="00D15FB4">
        <w:rPr>
          <w:rFonts w:ascii="Times New Roman" w:hAnsi="Times New Roman"/>
          <w:lang w:val="ru-RU"/>
        </w:rPr>
        <w:t>301884,</w:t>
      </w:r>
      <w:r w:rsidRPr="00D15FB4">
        <w:rPr>
          <w:rFonts w:ascii="Times New Roman" w:hAnsi="Times New Roman"/>
          <w:lang w:val="ru-RU"/>
        </w:rPr>
        <w:t>4 тыс. руб., или на 3</w:t>
      </w:r>
      <w:r w:rsidR="007F0716" w:rsidRPr="00D15FB4">
        <w:rPr>
          <w:rFonts w:ascii="Times New Roman" w:hAnsi="Times New Roman"/>
          <w:lang w:val="ru-RU"/>
        </w:rPr>
        <w:t>0</w:t>
      </w:r>
      <w:r w:rsidRPr="00D15FB4">
        <w:rPr>
          <w:rFonts w:ascii="Times New Roman" w:hAnsi="Times New Roman"/>
          <w:lang w:val="ru-RU"/>
        </w:rPr>
        <w:t>,</w:t>
      </w:r>
      <w:r w:rsidR="007F0716" w:rsidRPr="00D15FB4">
        <w:rPr>
          <w:rFonts w:ascii="Times New Roman" w:hAnsi="Times New Roman"/>
          <w:lang w:val="ru-RU"/>
        </w:rPr>
        <w:t>6</w:t>
      </w:r>
      <w:r w:rsidRPr="00D15FB4">
        <w:rPr>
          <w:rFonts w:ascii="Times New Roman" w:hAnsi="Times New Roman"/>
          <w:lang w:val="ru-RU"/>
        </w:rPr>
        <w:t xml:space="preserve"> %</w:t>
      </w:r>
      <w:r w:rsidR="000C3129" w:rsidRPr="00D15FB4">
        <w:rPr>
          <w:rFonts w:ascii="Times New Roman" w:hAnsi="Times New Roman"/>
          <w:lang w:val="ru-RU"/>
        </w:rPr>
        <w:t>,</w:t>
      </w:r>
      <w:r w:rsidRPr="00D15FB4">
        <w:rPr>
          <w:rFonts w:ascii="Times New Roman" w:hAnsi="Times New Roman"/>
          <w:lang w:val="ru-RU"/>
        </w:rPr>
        <w:t xml:space="preserve"> </w:t>
      </w:r>
      <w:r w:rsidR="00FC16FE">
        <w:rPr>
          <w:rFonts w:ascii="Times New Roman" w:hAnsi="Times New Roman"/>
          <w:lang w:val="ru-RU"/>
        </w:rPr>
        <w:t xml:space="preserve">и </w:t>
      </w:r>
      <w:r w:rsidRPr="00D15FB4">
        <w:rPr>
          <w:rFonts w:ascii="Times New Roman" w:hAnsi="Times New Roman"/>
          <w:lang w:val="ru-RU"/>
        </w:rPr>
        <w:t>в основном обусловлено следующими факторами:</w:t>
      </w:r>
    </w:p>
    <w:p w14:paraId="183C2425" w14:textId="1D42EAD6" w:rsidR="00007EF3" w:rsidRPr="00D15FB4" w:rsidRDefault="00F2611E" w:rsidP="00007EF3">
      <w:pPr>
        <w:ind w:firstLine="708"/>
        <w:jc w:val="both"/>
        <w:rPr>
          <w:rFonts w:ascii="Times New Roman" w:hAnsi="Times New Roman"/>
          <w:lang w:val="ru-RU"/>
        </w:rPr>
      </w:pPr>
      <w:r w:rsidRPr="00D15FB4">
        <w:rPr>
          <w:rFonts w:ascii="Times New Roman" w:hAnsi="Times New Roman"/>
          <w:lang w:val="ru-RU"/>
        </w:rPr>
        <w:t>-</w:t>
      </w:r>
      <w:r w:rsidR="00007EF3" w:rsidRPr="00D15FB4">
        <w:rPr>
          <w:rFonts w:ascii="Times New Roman" w:hAnsi="Times New Roman"/>
          <w:lang w:val="ru-RU"/>
        </w:rPr>
        <w:t>по подразделу</w:t>
      </w:r>
      <w:r w:rsidR="00007EF3" w:rsidRPr="00D15FB4">
        <w:rPr>
          <w:rFonts w:ascii="Times New Roman" w:hAnsi="Times New Roman"/>
        </w:rPr>
        <w:t> </w:t>
      </w:r>
      <w:r w:rsidR="00007EF3" w:rsidRPr="00D15FB4">
        <w:rPr>
          <w:rFonts w:ascii="Times New Roman" w:hAnsi="Times New Roman"/>
          <w:lang w:val="ru-RU"/>
        </w:rPr>
        <w:t>0204 расходы увеличились на</w:t>
      </w:r>
      <w:r w:rsidR="00007EF3" w:rsidRPr="00D15FB4">
        <w:rPr>
          <w:rFonts w:ascii="Times New Roman" w:hAnsi="Times New Roman"/>
        </w:rPr>
        <w:t> </w:t>
      </w:r>
      <w:r w:rsidR="00007EF3" w:rsidRPr="00D15FB4">
        <w:rPr>
          <w:rFonts w:ascii="Times New Roman" w:hAnsi="Times New Roman"/>
          <w:lang w:val="ru-RU"/>
        </w:rPr>
        <w:t xml:space="preserve">211,9 тыс. руб.  в связи </w:t>
      </w:r>
      <w:r w:rsidRPr="00D15FB4">
        <w:rPr>
          <w:rFonts w:ascii="Times New Roman" w:hAnsi="Times New Roman"/>
          <w:lang w:val="ru-RU"/>
        </w:rPr>
        <w:t xml:space="preserve">с </w:t>
      </w:r>
      <w:r w:rsidR="00007EF3" w:rsidRPr="00D15FB4">
        <w:rPr>
          <w:rFonts w:ascii="Times New Roman" w:hAnsi="Times New Roman"/>
          <w:lang w:val="ru-RU"/>
        </w:rPr>
        <w:t>созданием сектора мобилизационной работы и защиты информации;</w:t>
      </w:r>
    </w:p>
    <w:p w14:paraId="564356BD" w14:textId="77777777" w:rsidR="00007EF3" w:rsidRPr="00D15FB4" w:rsidRDefault="00F2611E" w:rsidP="00007EF3">
      <w:pPr>
        <w:ind w:firstLine="708"/>
        <w:jc w:val="both"/>
        <w:rPr>
          <w:rFonts w:ascii="Times New Roman" w:hAnsi="Times New Roman"/>
          <w:lang w:val="ru-RU"/>
        </w:rPr>
      </w:pPr>
      <w:r w:rsidRPr="00D15FB4">
        <w:rPr>
          <w:rFonts w:ascii="Times New Roman" w:hAnsi="Times New Roman"/>
          <w:lang w:val="ru-RU"/>
        </w:rPr>
        <w:t>-</w:t>
      </w:r>
      <w:r w:rsidR="00007EF3" w:rsidRPr="00D15FB4">
        <w:rPr>
          <w:rFonts w:ascii="Times New Roman" w:hAnsi="Times New Roman"/>
          <w:lang w:val="ru-RU"/>
        </w:rPr>
        <w:t>по подразделу 0401 расходы увеличились на 5167,4 тыс. руб. за счет увеличения</w:t>
      </w:r>
      <w:r w:rsidR="00007EF3" w:rsidRPr="00D15FB4">
        <w:rPr>
          <w:rFonts w:ascii="Times New Roman" w:hAnsi="Times New Roman"/>
        </w:rPr>
        <w:t> </w:t>
      </w:r>
      <w:r w:rsidR="00007EF3" w:rsidRPr="00D15FB4">
        <w:rPr>
          <w:rFonts w:ascii="Times New Roman" w:hAnsi="Times New Roman"/>
          <w:lang w:val="ru-RU"/>
        </w:rPr>
        <w:t>расходов по оплате труда</w:t>
      </w:r>
      <w:r w:rsidR="00277D0B" w:rsidRPr="00D15FB4">
        <w:rPr>
          <w:rFonts w:ascii="Times New Roman" w:hAnsi="Times New Roman"/>
          <w:lang w:val="ru-RU"/>
        </w:rPr>
        <w:t xml:space="preserve"> в</w:t>
      </w:r>
      <w:r w:rsidR="00091D37" w:rsidRPr="00D15FB4">
        <w:rPr>
          <w:rFonts w:ascii="Times New Roman" w:hAnsi="Times New Roman"/>
          <w:lang w:val="ru-RU"/>
        </w:rPr>
        <w:t xml:space="preserve"> связи с</w:t>
      </w:r>
      <w:r w:rsidR="00007EF3" w:rsidRPr="00D15FB4">
        <w:rPr>
          <w:rFonts w:ascii="Times New Roman" w:hAnsi="Times New Roman"/>
          <w:lang w:val="ru-RU"/>
        </w:rPr>
        <w:t xml:space="preserve"> создан</w:t>
      </w:r>
      <w:r w:rsidR="00091D37" w:rsidRPr="00D15FB4">
        <w:rPr>
          <w:rFonts w:ascii="Times New Roman" w:hAnsi="Times New Roman"/>
          <w:lang w:val="ru-RU"/>
        </w:rPr>
        <w:t>ием</w:t>
      </w:r>
      <w:r w:rsidR="00007EF3" w:rsidRPr="00D15FB4">
        <w:rPr>
          <w:rFonts w:ascii="Times New Roman" w:hAnsi="Times New Roman"/>
          <w:lang w:val="ru-RU"/>
        </w:rPr>
        <w:t xml:space="preserve"> ГКУ «Экспертный центр» и организационно-штатными мероприятиями в </w:t>
      </w:r>
      <w:r w:rsidR="00881267" w:rsidRPr="00D15FB4">
        <w:rPr>
          <w:rFonts w:ascii="Times New Roman" w:hAnsi="Times New Roman"/>
          <w:lang w:val="ru-RU"/>
        </w:rPr>
        <w:t>К</w:t>
      </w:r>
      <w:r w:rsidR="00007EF3" w:rsidRPr="00D15FB4">
        <w:rPr>
          <w:rFonts w:ascii="Times New Roman" w:hAnsi="Times New Roman"/>
          <w:lang w:val="ru-RU"/>
        </w:rPr>
        <w:t>омитете;</w:t>
      </w:r>
    </w:p>
    <w:p w14:paraId="70636C72" w14:textId="2B37D083" w:rsidR="00007EF3" w:rsidRPr="00D15FB4" w:rsidRDefault="00F2611E" w:rsidP="0045545A">
      <w:pPr>
        <w:ind w:firstLine="708"/>
        <w:jc w:val="both"/>
        <w:rPr>
          <w:rFonts w:ascii="Times New Roman" w:hAnsi="Times New Roman"/>
          <w:lang w:val="ru-RU"/>
        </w:rPr>
      </w:pPr>
      <w:r w:rsidRPr="00D15FB4">
        <w:rPr>
          <w:rFonts w:ascii="Times New Roman" w:hAnsi="Times New Roman"/>
          <w:lang w:val="ru-RU"/>
        </w:rPr>
        <w:t>-</w:t>
      </w:r>
      <w:r w:rsidR="00007EF3" w:rsidRPr="00D15FB4">
        <w:rPr>
          <w:rFonts w:ascii="Times New Roman" w:hAnsi="Times New Roman"/>
          <w:lang w:val="ru-RU"/>
        </w:rPr>
        <w:t>по подразделу 0502 расходы увеличились на 296505,1 тыс. руб. в связи с ростом индекса платы граждан за коммунальные услуги</w:t>
      </w:r>
      <w:r w:rsidR="00FC16FE">
        <w:rPr>
          <w:rFonts w:ascii="Times New Roman" w:hAnsi="Times New Roman"/>
          <w:lang w:val="ru-RU"/>
        </w:rPr>
        <w:t xml:space="preserve"> и</w:t>
      </w:r>
      <w:r w:rsidR="00007EF3" w:rsidRPr="00D15FB4">
        <w:rPr>
          <w:rFonts w:ascii="Times New Roman" w:hAnsi="Times New Roman"/>
          <w:lang w:val="ru-RU"/>
        </w:rPr>
        <w:t xml:space="preserve"> рост</w:t>
      </w:r>
      <w:r w:rsidR="000C3129" w:rsidRPr="00D15FB4">
        <w:rPr>
          <w:rFonts w:ascii="Times New Roman" w:hAnsi="Times New Roman"/>
          <w:lang w:val="ru-RU"/>
        </w:rPr>
        <w:t>ом</w:t>
      </w:r>
      <w:r w:rsidR="00007EF3" w:rsidRPr="00D15FB4">
        <w:rPr>
          <w:rFonts w:ascii="Times New Roman" w:hAnsi="Times New Roman"/>
          <w:lang w:val="ru-RU"/>
        </w:rPr>
        <w:t xml:space="preserve"> </w:t>
      </w:r>
      <w:r w:rsidR="002471E2" w:rsidRPr="00D15FB4">
        <w:rPr>
          <w:rFonts w:ascii="Times New Roman" w:hAnsi="Times New Roman"/>
          <w:lang w:val="ru-RU"/>
        </w:rPr>
        <w:t>экономически обоснованного</w:t>
      </w:r>
      <w:r w:rsidR="00007EF3" w:rsidRPr="00D15FB4">
        <w:rPr>
          <w:rFonts w:ascii="Times New Roman" w:hAnsi="Times New Roman"/>
          <w:lang w:val="ru-RU"/>
        </w:rPr>
        <w:t xml:space="preserve"> тарифа </w:t>
      </w:r>
      <w:r w:rsidR="000C3129" w:rsidRPr="00D15FB4">
        <w:rPr>
          <w:rFonts w:ascii="Times New Roman" w:hAnsi="Times New Roman"/>
          <w:lang w:val="ru-RU"/>
        </w:rPr>
        <w:t>над</w:t>
      </w:r>
      <w:r w:rsidR="00007EF3" w:rsidRPr="00D15FB4">
        <w:rPr>
          <w:rFonts w:ascii="Times New Roman" w:hAnsi="Times New Roman"/>
          <w:lang w:val="ru-RU"/>
        </w:rPr>
        <w:t xml:space="preserve"> уровн</w:t>
      </w:r>
      <w:r w:rsidR="000C3129" w:rsidRPr="00D15FB4">
        <w:rPr>
          <w:rFonts w:ascii="Times New Roman" w:hAnsi="Times New Roman"/>
          <w:lang w:val="ru-RU"/>
        </w:rPr>
        <w:t>ем</w:t>
      </w:r>
      <w:r w:rsidR="00007EF3" w:rsidRPr="00D15FB4">
        <w:rPr>
          <w:rFonts w:ascii="Times New Roman" w:hAnsi="Times New Roman"/>
          <w:lang w:val="ru-RU"/>
        </w:rPr>
        <w:t xml:space="preserve"> индекса потребительских цен.</w:t>
      </w:r>
    </w:p>
    <w:p w14:paraId="17979A4A" w14:textId="77777777" w:rsidR="00FC404A" w:rsidRDefault="00FC404A" w:rsidP="00791673">
      <w:pPr>
        <w:pStyle w:val="ad"/>
        <w:ind w:firstLine="708"/>
        <w:jc w:val="center"/>
        <w:rPr>
          <w:b/>
          <w:sz w:val="24"/>
          <w:szCs w:val="24"/>
        </w:rPr>
      </w:pPr>
    </w:p>
    <w:p w14:paraId="222A6C89" w14:textId="1746F0FB" w:rsidR="00515990" w:rsidRPr="00D15FB4" w:rsidRDefault="00515990" w:rsidP="00791673">
      <w:pPr>
        <w:pStyle w:val="ad"/>
        <w:ind w:firstLine="708"/>
        <w:jc w:val="center"/>
        <w:rPr>
          <w:b/>
          <w:sz w:val="24"/>
          <w:szCs w:val="24"/>
        </w:rPr>
      </w:pPr>
      <w:r w:rsidRPr="00D15FB4">
        <w:rPr>
          <w:b/>
          <w:sz w:val="24"/>
          <w:szCs w:val="24"/>
        </w:rPr>
        <w:t>Анализ дебиторской и кредиторской задолженности</w:t>
      </w:r>
    </w:p>
    <w:p w14:paraId="5092755F" w14:textId="77777777" w:rsidR="00DA5819" w:rsidRPr="00D15FB4" w:rsidRDefault="00DA5819" w:rsidP="00DA58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lang w:val="ru-RU"/>
        </w:rPr>
      </w:pPr>
      <w:r w:rsidRPr="00D15FB4">
        <w:rPr>
          <w:rFonts w:ascii="Times New Roman" w:hAnsi="Times New Roman"/>
          <w:lang w:val="ru-RU"/>
        </w:rPr>
        <w:t>Информация о динамике дебиторской и кредиторской задолженности в 2020 году (ф.0503169 «Сведения о дебиторской и кредиторской задолженности») приведена в таблице</w:t>
      </w:r>
      <w:r w:rsidR="00FC16FE">
        <w:rPr>
          <w:rFonts w:ascii="Times New Roman" w:hAnsi="Times New Roman"/>
          <w:lang w:val="ru-RU"/>
        </w:rPr>
        <w:t xml:space="preserve"> </w:t>
      </w:r>
      <w:r w:rsidR="000128D3">
        <w:rPr>
          <w:rFonts w:ascii="Times New Roman" w:hAnsi="Times New Roman"/>
          <w:lang w:val="ru-RU"/>
        </w:rPr>
        <w:t>5</w:t>
      </w:r>
      <w:r w:rsidRPr="00D15FB4">
        <w:rPr>
          <w:rFonts w:ascii="Times New Roman" w:hAnsi="Times New Roman"/>
          <w:lang w:val="ru-RU"/>
        </w:rPr>
        <w:t>.</w:t>
      </w:r>
      <w:r w:rsidRPr="00D15FB4">
        <w:rPr>
          <w:rFonts w:ascii="Times New Roman" w:hAnsi="Times New Roman"/>
          <w:bCs/>
          <w:i/>
          <w:lang w:val="ru-RU"/>
        </w:rPr>
        <w:t xml:space="preserve">                                                                     </w:t>
      </w:r>
    </w:p>
    <w:p w14:paraId="1DADA0CB" w14:textId="77777777" w:rsidR="00DA5819" w:rsidRPr="00D15FB4" w:rsidRDefault="003A57CF" w:rsidP="003A57CF">
      <w:pPr>
        <w:autoSpaceDE w:val="0"/>
        <w:autoSpaceDN w:val="0"/>
        <w:adjustRightInd w:val="0"/>
        <w:ind w:right="-1" w:firstLine="720"/>
        <w:jc w:val="both"/>
        <w:rPr>
          <w:rFonts w:ascii="Times New Roman" w:hAnsi="Times New Roman"/>
          <w:bCs/>
          <w:i/>
          <w:sz w:val="22"/>
          <w:szCs w:val="22"/>
        </w:rPr>
      </w:pPr>
      <w:r w:rsidRPr="00D15FB4">
        <w:rPr>
          <w:rFonts w:ascii="Times New Roman" w:hAnsi="Times New Roman"/>
          <w:bCs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 w:rsidR="00DA5819" w:rsidRPr="00D15FB4">
        <w:rPr>
          <w:rFonts w:ascii="Times New Roman" w:hAnsi="Times New Roman"/>
          <w:bCs/>
          <w:i/>
          <w:sz w:val="20"/>
          <w:szCs w:val="20"/>
          <w:lang w:val="ru-RU"/>
        </w:rPr>
        <w:t xml:space="preserve">        </w:t>
      </w:r>
      <w:r w:rsidR="00FC16FE">
        <w:rPr>
          <w:rFonts w:ascii="Times New Roman" w:hAnsi="Times New Roman"/>
          <w:bCs/>
          <w:i/>
          <w:sz w:val="20"/>
          <w:szCs w:val="20"/>
          <w:lang w:val="ru-RU"/>
        </w:rPr>
        <w:t xml:space="preserve">         </w:t>
      </w:r>
      <w:r w:rsidR="00DA5819" w:rsidRPr="00D15FB4">
        <w:rPr>
          <w:rFonts w:ascii="Times New Roman" w:hAnsi="Times New Roman"/>
          <w:bCs/>
          <w:i/>
          <w:sz w:val="22"/>
          <w:szCs w:val="22"/>
        </w:rPr>
        <w:t xml:space="preserve">Таблица </w:t>
      </w:r>
      <w:r w:rsidR="000128D3">
        <w:rPr>
          <w:rFonts w:ascii="Times New Roman" w:hAnsi="Times New Roman"/>
          <w:bCs/>
          <w:i/>
          <w:sz w:val="22"/>
          <w:szCs w:val="22"/>
          <w:lang w:val="ru-RU"/>
        </w:rPr>
        <w:t>5</w:t>
      </w:r>
      <w:r w:rsidR="00FC16FE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DA5819" w:rsidRPr="00D15FB4">
        <w:rPr>
          <w:rFonts w:ascii="Times New Roman" w:hAnsi="Times New Roman"/>
          <w:bCs/>
          <w:i/>
          <w:sz w:val="22"/>
          <w:szCs w:val="22"/>
        </w:rPr>
        <w:t>(тыс. руб.)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1275"/>
        <w:gridCol w:w="993"/>
        <w:gridCol w:w="1134"/>
      </w:tblGrid>
      <w:tr w:rsidR="00077288" w:rsidRPr="00D15FB4" w14:paraId="7E5C15AA" w14:textId="77777777" w:rsidTr="005A1E06">
        <w:trPr>
          <w:trHeight w:val="347"/>
        </w:trPr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8FE5913" w14:textId="77777777" w:rsidR="00077288" w:rsidRPr="00D15FB4" w:rsidRDefault="00077288" w:rsidP="00275B5E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677" w:type="dxa"/>
            <w:gridSpan w:val="4"/>
            <w:tcBorders>
              <w:top w:val="double" w:sz="4" w:space="0" w:color="auto"/>
            </w:tcBorders>
          </w:tcPr>
          <w:p w14:paraId="40ABF2C3" w14:textId="77777777" w:rsidR="00077288" w:rsidRPr="00D15FB4" w:rsidRDefault="00077288" w:rsidP="005858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Сумма</w:t>
            </w:r>
            <w:r w:rsidRPr="00D15FB4">
              <w:rPr>
                <w:rFonts w:ascii="Times New Roman" w:hAnsi="Times New Roman"/>
                <w:bCs/>
                <w:sz w:val="18"/>
                <w:szCs w:val="18"/>
              </w:rPr>
              <w:t xml:space="preserve"> задолженности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8CF9E9" w14:textId="77777777" w:rsidR="00077288" w:rsidRPr="00D15FB4" w:rsidRDefault="00077288" w:rsidP="004D294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Отклонения </w:t>
            </w:r>
          </w:p>
        </w:tc>
      </w:tr>
      <w:tr w:rsidR="00E56403" w:rsidRPr="00D15FB4" w14:paraId="393557EB" w14:textId="77777777" w:rsidTr="005A1E06">
        <w:trPr>
          <w:trHeight w:val="492"/>
        </w:trPr>
        <w:tc>
          <w:tcPr>
            <w:tcW w:w="32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2DB8198A" w14:textId="77777777" w:rsidR="00077288" w:rsidRPr="00D15FB4" w:rsidRDefault="00077288" w:rsidP="00275B5E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AB88380" w14:textId="77777777" w:rsidR="00077288" w:rsidRPr="00D15FB4" w:rsidRDefault="00077288" w:rsidP="00FC7E1F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3997A19" w14:textId="77777777" w:rsidR="00077288" w:rsidRPr="00D15FB4" w:rsidRDefault="00077288" w:rsidP="000772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 т.ч. просроченная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1EDFE8E" w14:textId="77777777" w:rsidR="00077288" w:rsidRPr="00D15FB4" w:rsidRDefault="00077288" w:rsidP="00E00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</w:rPr>
              <w:t>на 01.01.2021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724B4F85" w14:textId="77777777" w:rsidR="00077288" w:rsidRPr="00D15FB4" w:rsidRDefault="00077288" w:rsidP="003A57C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 т.ч. просроченная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6BAAE87" w14:textId="77777777" w:rsidR="005A1E06" w:rsidRDefault="00077288" w:rsidP="005A1E0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</w:rPr>
              <w:t>тыс.руб</w:t>
            </w:r>
            <w:r w:rsidR="005A1E0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  <w:p w14:paraId="4E369B86" w14:textId="56DF11CC" w:rsidR="00077288" w:rsidRPr="00D15FB4" w:rsidRDefault="00077288" w:rsidP="005A1E0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(гр.</w:t>
            </w:r>
            <w:r w:rsidR="00FC16F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4</w:t>
            </w: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-2)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F94769" w14:textId="77777777" w:rsidR="00077288" w:rsidRPr="00D15FB4" w:rsidRDefault="00077288" w:rsidP="00E00B8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</w:rPr>
              <w:t>% (раз)</w:t>
            </w:r>
          </w:p>
        </w:tc>
      </w:tr>
      <w:tr w:rsidR="00E56403" w:rsidRPr="00D15FB4" w14:paraId="2A24C560" w14:textId="77777777" w:rsidTr="005A1E06">
        <w:trPr>
          <w:trHeight w:val="283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E7AA4DE" w14:textId="77777777" w:rsidR="00077288" w:rsidRPr="00D15FB4" w:rsidRDefault="00077288" w:rsidP="004D294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213B1F6" w14:textId="77777777" w:rsidR="00077288" w:rsidRPr="00D15FB4" w:rsidRDefault="00077288" w:rsidP="004D294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589F17FC" w14:textId="77777777" w:rsidR="00077288" w:rsidRPr="00D15FB4" w:rsidRDefault="00FC16FE" w:rsidP="004D294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6814C8" w14:textId="77777777" w:rsidR="00077288" w:rsidRPr="00D15FB4" w:rsidRDefault="00FC16FE" w:rsidP="004D294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F22EA0" w14:textId="77777777" w:rsidR="00077288" w:rsidRPr="00D15FB4" w:rsidRDefault="00FC16FE" w:rsidP="004D294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F36E2B" w14:textId="77777777" w:rsidR="00077288" w:rsidRPr="00D15FB4" w:rsidRDefault="00FC16FE" w:rsidP="00FC16F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D62A61" w14:textId="77777777" w:rsidR="00077288" w:rsidRPr="00D15FB4" w:rsidRDefault="00FC16FE" w:rsidP="00FC16FE">
            <w:pPr>
              <w:ind w:left="-108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7</w:t>
            </w:r>
          </w:p>
        </w:tc>
      </w:tr>
      <w:tr w:rsidR="00E56403" w:rsidRPr="00D15FB4" w14:paraId="1D03A2B5" w14:textId="77777777" w:rsidTr="005A1E06">
        <w:trPr>
          <w:trHeight w:val="709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FB4AA32" w14:textId="77777777" w:rsidR="00077288" w:rsidRPr="00D15FB4" w:rsidRDefault="00077288" w:rsidP="00E56403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       Дебиторская  задолженность всего по Комитету,  </w:t>
            </w: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0F23474" w14:textId="77777777" w:rsidR="00077288" w:rsidRPr="00D15FB4" w:rsidRDefault="00077288" w:rsidP="004D2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521,4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D31C62" w14:textId="77777777" w:rsidR="00077288" w:rsidRPr="00D15FB4" w:rsidRDefault="00E56403" w:rsidP="00E5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284,3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F4B80F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1125,0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461D31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610,0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DAE9D7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+ 603,6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9E5DA" w14:textId="2174FAD1" w:rsidR="00077288" w:rsidRPr="00D15FB4" w:rsidRDefault="00077288" w:rsidP="00275B5E">
            <w:pPr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увелич</w:t>
            </w:r>
            <w:r w:rsidR="005A1E0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илась</w:t>
            </w:r>
            <w:r w:rsidRPr="00D15FB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в 2,2 раза</w:t>
            </w:r>
          </w:p>
        </w:tc>
      </w:tr>
      <w:tr w:rsidR="00E56403" w:rsidRPr="00D15FB4" w14:paraId="4A4353C8" w14:textId="77777777" w:rsidTr="005A1E06">
        <w:trPr>
          <w:trHeight w:val="210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F85AA4F" w14:textId="77777777" w:rsidR="00077288" w:rsidRPr="00D15FB4" w:rsidRDefault="00077288" w:rsidP="00FC7E1F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Расчеты по доходам 1 20500 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5E36726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384,3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FF8FD76" w14:textId="77777777" w:rsidR="00077288" w:rsidRPr="00D15FB4" w:rsidRDefault="00E56403" w:rsidP="00E5640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284,3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E207DD8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1110,0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7F88A98C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610,0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DD5725" w14:textId="77777777" w:rsidR="00077288" w:rsidRPr="00D15FB4" w:rsidRDefault="00077288" w:rsidP="00FC16F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+ </w:t>
            </w:r>
            <w:r w:rsidR="00FC16F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725,7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6506E0" w14:textId="13247D15" w:rsidR="00077288" w:rsidRPr="00D15FB4" w:rsidRDefault="00077288" w:rsidP="00275B5E">
            <w:pPr>
              <w:ind w:left="-108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увелич</w:t>
            </w:r>
            <w:r w:rsidR="005A1E0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илась</w:t>
            </w: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14:paraId="24C59073" w14:textId="77777777" w:rsidR="00077288" w:rsidRPr="00D15FB4" w:rsidRDefault="00077288" w:rsidP="00FC16FE">
            <w:pPr>
              <w:ind w:left="-108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в </w:t>
            </w:r>
            <w:r w:rsidR="00FC16F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</w:t>
            </w:r>
            <w:r w:rsidR="00FC16F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6</w:t>
            </w: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раза</w:t>
            </w:r>
          </w:p>
        </w:tc>
      </w:tr>
      <w:tr w:rsidR="00E56403" w:rsidRPr="00D15FB4" w14:paraId="4F97F370" w14:textId="77777777" w:rsidTr="005A1E06">
        <w:trPr>
          <w:trHeight w:val="255"/>
        </w:trPr>
        <w:tc>
          <w:tcPr>
            <w:tcW w:w="326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3F20EDA" w14:textId="77777777" w:rsidR="00E56403" w:rsidRPr="00D15FB4" w:rsidRDefault="00077288" w:rsidP="00FC7E1F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Расчеты по выданным авансам   </w:t>
            </w:r>
          </w:p>
          <w:p w14:paraId="483089F3" w14:textId="77777777" w:rsidR="00077288" w:rsidRPr="00D15FB4" w:rsidRDefault="00077288" w:rsidP="00FC7E1F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1 20600 000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29176E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135,6</w:t>
            </w:r>
          </w:p>
        </w:tc>
        <w:tc>
          <w:tcPr>
            <w:tcW w:w="1134" w:type="dxa"/>
            <w:vAlign w:val="center"/>
          </w:tcPr>
          <w:p w14:paraId="08749CDF" w14:textId="77777777" w:rsidR="00077288" w:rsidRPr="00D15FB4" w:rsidRDefault="00E56403" w:rsidP="00E5640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7CB2DC8B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0,9</w:t>
            </w:r>
          </w:p>
        </w:tc>
        <w:tc>
          <w:tcPr>
            <w:tcW w:w="1275" w:type="dxa"/>
            <w:vAlign w:val="center"/>
          </w:tcPr>
          <w:p w14:paraId="74C3AFE9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4081BF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- 134,7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BE38DA" w14:textId="17B6AD0F" w:rsidR="00077288" w:rsidRPr="00D15FB4" w:rsidRDefault="00077288" w:rsidP="00AC709D">
            <w:pPr>
              <w:ind w:left="-108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уменьш</w:t>
            </w:r>
            <w:r w:rsidR="005A1E0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илась</w:t>
            </w:r>
          </w:p>
        </w:tc>
      </w:tr>
      <w:tr w:rsidR="00E56403" w:rsidRPr="00D15FB4" w14:paraId="6FEB6B28" w14:textId="77777777" w:rsidTr="005A1E06">
        <w:trPr>
          <w:trHeight w:val="255"/>
        </w:trPr>
        <w:tc>
          <w:tcPr>
            <w:tcW w:w="326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362ED47" w14:textId="77777777" w:rsidR="00E56403" w:rsidRPr="00D15FB4" w:rsidRDefault="00077288" w:rsidP="00FC7E1F">
            <w:pPr>
              <w:rPr>
                <w:rFonts w:ascii="Times New Roman" w:eastAsiaTheme="minorHAnsi" w:hAnsi="Times New Roman"/>
                <w:sz w:val="18"/>
                <w:szCs w:val="18"/>
                <w:lang w:val="ru-RU" w:bidi="ar-SA"/>
              </w:rPr>
            </w:pPr>
            <w:r w:rsidRPr="00D15FB4">
              <w:rPr>
                <w:rFonts w:ascii="Times New Roman" w:eastAsiaTheme="minorHAnsi" w:hAnsi="Times New Roman"/>
                <w:sz w:val="18"/>
                <w:szCs w:val="18"/>
                <w:lang w:val="ru-RU" w:bidi="ar-SA"/>
              </w:rPr>
              <w:t xml:space="preserve">Расчеты по ущербу и иным доходам </w:t>
            </w:r>
          </w:p>
          <w:p w14:paraId="55356B3F" w14:textId="77777777" w:rsidR="00077288" w:rsidRPr="00D15FB4" w:rsidRDefault="00077288" w:rsidP="00FC7E1F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eastAsiaTheme="minorHAnsi" w:hAnsi="Times New Roman"/>
                <w:sz w:val="18"/>
                <w:szCs w:val="18"/>
                <w:lang w:val="ru-RU" w:bidi="ar-SA"/>
              </w:rPr>
              <w:t>1 20900 000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604166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70B9ED5F" w14:textId="77777777" w:rsidR="00077288" w:rsidRPr="00D15FB4" w:rsidRDefault="00E56403" w:rsidP="00E5640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27D45784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14,0</w:t>
            </w:r>
          </w:p>
        </w:tc>
        <w:tc>
          <w:tcPr>
            <w:tcW w:w="1275" w:type="dxa"/>
            <w:vAlign w:val="center"/>
          </w:tcPr>
          <w:p w14:paraId="182E1C20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F9C1CE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+ 14,0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8CCEEE" w14:textId="77777777" w:rsidR="00077288" w:rsidRPr="00D15FB4" w:rsidRDefault="00FC16FE" w:rsidP="00275B5E">
            <w:pPr>
              <w:ind w:left="-108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</w:t>
            </w:r>
          </w:p>
        </w:tc>
      </w:tr>
      <w:tr w:rsidR="00E56403" w:rsidRPr="00D15FB4" w14:paraId="01BF3F85" w14:textId="77777777" w:rsidTr="005A1E06">
        <w:trPr>
          <w:trHeight w:val="210"/>
        </w:trPr>
        <w:tc>
          <w:tcPr>
            <w:tcW w:w="32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57AD08C" w14:textId="77777777" w:rsidR="00077288" w:rsidRPr="00D15FB4" w:rsidRDefault="00077288" w:rsidP="00FC7E1F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Расчеты по платежам в бюджеты  1</w:t>
            </w:r>
            <w:r w:rsidRPr="00D15FB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30300 000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39F5DCE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1,5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3DE8499" w14:textId="77777777" w:rsidR="00077288" w:rsidRPr="00D15FB4" w:rsidRDefault="00E56403" w:rsidP="00E5640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A91B67A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63123871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0C23E3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-1,5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C99753" w14:textId="77777777" w:rsidR="00077288" w:rsidRPr="00D15FB4" w:rsidRDefault="00FC16FE" w:rsidP="00AC709D">
            <w:pPr>
              <w:ind w:left="-108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</w:t>
            </w:r>
          </w:p>
        </w:tc>
      </w:tr>
      <w:tr w:rsidR="00E56403" w:rsidRPr="00D15FB4" w14:paraId="6FDD58F3" w14:textId="77777777" w:rsidTr="005A1E06">
        <w:trPr>
          <w:trHeight w:val="210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0F4882B" w14:textId="77777777" w:rsidR="00077288" w:rsidRPr="00D15FB4" w:rsidRDefault="00077288" w:rsidP="00E56403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       Кредиторская задолженность всего по Комитету, </w:t>
            </w: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0188B99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0,6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B06358" w14:textId="77777777" w:rsidR="00077288" w:rsidRPr="00D15FB4" w:rsidRDefault="00E56403" w:rsidP="00E5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DFFCFD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F93D77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B7E9FA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- 0,6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97FD4D" w14:textId="77777777" w:rsidR="00077288" w:rsidRPr="00D15FB4" w:rsidRDefault="00FC16FE" w:rsidP="00BF368A">
            <w:pPr>
              <w:ind w:left="-108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</w:t>
            </w:r>
          </w:p>
        </w:tc>
      </w:tr>
      <w:tr w:rsidR="00E56403" w:rsidRPr="00D15FB4" w14:paraId="1CD57B00" w14:textId="77777777" w:rsidTr="005A1E06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9AA4449" w14:textId="77777777" w:rsidR="00E56403" w:rsidRPr="00D15FB4" w:rsidRDefault="00077288" w:rsidP="00275B5E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Расчеты по платежам в бюджеты </w:t>
            </w:r>
          </w:p>
          <w:p w14:paraId="340A6E7A" w14:textId="77777777" w:rsidR="00077288" w:rsidRPr="00D15FB4" w:rsidRDefault="00077288" w:rsidP="00275B5E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1 30300 000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F3CFC84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0,6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AFFE4A" w14:textId="77777777" w:rsidR="00077288" w:rsidRPr="00D15FB4" w:rsidRDefault="00E56403" w:rsidP="00E5640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BB2869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0A2194" w14:textId="77777777" w:rsidR="00077288" w:rsidRPr="00D15FB4" w:rsidRDefault="00077288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B71804" w14:textId="77777777" w:rsidR="00077288" w:rsidRPr="00D15FB4" w:rsidRDefault="00FC16FE" w:rsidP="00275B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- </w:t>
            </w:r>
            <w:r w:rsidR="00077288" w:rsidRPr="00D15FB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0FEA2" w14:textId="77777777" w:rsidR="00077288" w:rsidRPr="00D15FB4" w:rsidRDefault="00FC16FE" w:rsidP="00275B5E">
            <w:pPr>
              <w:ind w:left="-108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</w:t>
            </w:r>
          </w:p>
        </w:tc>
      </w:tr>
    </w:tbl>
    <w:p w14:paraId="55CBF337" w14:textId="77777777" w:rsidR="00CB09A1" w:rsidRPr="00D15FB4" w:rsidRDefault="00CB09A1" w:rsidP="00990BD8">
      <w:pPr>
        <w:ind w:firstLine="709"/>
        <w:jc w:val="both"/>
        <w:rPr>
          <w:rFonts w:ascii="Times New Roman" w:hAnsi="Times New Roman"/>
          <w:i/>
          <w:u w:val="single"/>
          <w:lang w:val="ru-RU"/>
        </w:rPr>
      </w:pPr>
      <w:r w:rsidRPr="00D15FB4">
        <w:rPr>
          <w:rFonts w:ascii="Times New Roman" w:hAnsi="Times New Roman"/>
          <w:i/>
          <w:u w:val="single"/>
          <w:lang w:val="ru-RU"/>
        </w:rPr>
        <w:lastRenderedPageBreak/>
        <w:t>Состояние дебиторской задолженности</w:t>
      </w:r>
    </w:p>
    <w:p w14:paraId="0C3E6C03" w14:textId="77777777" w:rsidR="00AD16DC" w:rsidRPr="00D15FB4" w:rsidRDefault="00CB09A1" w:rsidP="00C91EAC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FB4">
        <w:rPr>
          <w:rFonts w:ascii="Times New Roman" w:hAnsi="Times New Roman"/>
          <w:sz w:val="24"/>
          <w:szCs w:val="24"/>
        </w:rPr>
        <w:t>Согласно балансу Комитета (ф.0503130) и «Сведениям по дебиторской и кредиторской задолженности» (ф.0503169) за 20</w:t>
      </w:r>
      <w:r w:rsidR="00990BD8" w:rsidRPr="00D15FB4">
        <w:rPr>
          <w:rFonts w:ascii="Times New Roman" w:hAnsi="Times New Roman"/>
          <w:sz w:val="24"/>
          <w:szCs w:val="24"/>
        </w:rPr>
        <w:t xml:space="preserve">20 </w:t>
      </w:r>
      <w:r w:rsidRPr="00D15FB4">
        <w:rPr>
          <w:rFonts w:ascii="Times New Roman" w:hAnsi="Times New Roman"/>
          <w:sz w:val="24"/>
          <w:szCs w:val="24"/>
        </w:rPr>
        <w:t xml:space="preserve">год дебиторская задолженность </w:t>
      </w:r>
      <w:r w:rsidR="00C91EAC" w:rsidRPr="00D15FB4">
        <w:rPr>
          <w:rFonts w:ascii="Times New Roman" w:hAnsi="Times New Roman"/>
          <w:sz w:val="24"/>
          <w:szCs w:val="24"/>
        </w:rPr>
        <w:t xml:space="preserve">КТР на 01.01.2021 составила 1125,0 тыс. руб., </w:t>
      </w:r>
      <w:r w:rsidR="00277D0B" w:rsidRPr="00D15FB4">
        <w:rPr>
          <w:rFonts w:ascii="Times New Roman" w:hAnsi="Times New Roman"/>
          <w:sz w:val="24"/>
          <w:szCs w:val="24"/>
        </w:rPr>
        <w:t xml:space="preserve">или </w:t>
      </w:r>
      <w:r w:rsidR="00990BD8" w:rsidRPr="00D15FB4">
        <w:rPr>
          <w:rFonts w:ascii="Times New Roman" w:hAnsi="Times New Roman"/>
          <w:sz w:val="24"/>
          <w:szCs w:val="24"/>
        </w:rPr>
        <w:t>увеличилась</w:t>
      </w:r>
      <w:r w:rsidRPr="00D15FB4">
        <w:rPr>
          <w:rFonts w:ascii="Times New Roman" w:hAnsi="Times New Roman"/>
          <w:sz w:val="24"/>
          <w:szCs w:val="24"/>
        </w:rPr>
        <w:t xml:space="preserve"> на 6</w:t>
      </w:r>
      <w:r w:rsidR="00990BD8" w:rsidRPr="00D15FB4">
        <w:rPr>
          <w:rFonts w:ascii="Times New Roman" w:hAnsi="Times New Roman"/>
          <w:sz w:val="24"/>
          <w:szCs w:val="24"/>
        </w:rPr>
        <w:t>03,6</w:t>
      </w:r>
      <w:r w:rsidRPr="00D15FB4">
        <w:rPr>
          <w:rFonts w:ascii="Times New Roman" w:hAnsi="Times New Roman"/>
          <w:sz w:val="24"/>
          <w:szCs w:val="24"/>
        </w:rPr>
        <w:t xml:space="preserve"> тыс. руб.</w:t>
      </w:r>
      <w:r w:rsidR="00277D0B" w:rsidRPr="00D15FB4">
        <w:rPr>
          <w:rFonts w:ascii="Times New Roman" w:hAnsi="Times New Roman"/>
          <w:sz w:val="24"/>
          <w:szCs w:val="24"/>
        </w:rPr>
        <w:t xml:space="preserve"> (</w:t>
      </w:r>
      <w:r w:rsidRPr="00D15FB4">
        <w:rPr>
          <w:rFonts w:ascii="Times New Roman" w:hAnsi="Times New Roman"/>
          <w:sz w:val="24"/>
          <w:szCs w:val="24"/>
        </w:rPr>
        <w:t>почти в 2</w:t>
      </w:r>
      <w:r w:rsidR="00990BD8" w:rsidRPr="00D15FB4">
        <w:rPr>
          <w:rFonts w:ascii="Times New Roman" w:hAnsi="Times New Roman"/>
          <w:sz w:val="24"/>
          <w:szCs w:val="24"/>
        </w:rPr>
        <w:t>,2</w:t>
      </w:r>
      <w:r w:rsidRPr="00D15FB4">
        <w:rPr>
          <w:rFonts w:ascii="Times New Roman" w:hAnsi="Times New Roman"/>
          <w:sz w:val="24"/>
          <w:szCs w:val="24"/>
        </w:rPr>
        <w:t xml:space="preserve"> раза</w:t>
      </w:r>
      <w:r w:rsidR="00277D0B" w:rsidRPr="00D15FB4">
        <w:rPr>
          <w:rFonts w:ascii="Times New Roman" w:hAnsi="Times New Roman"/>
          <w:sz w:val="24"/>
          <w:szCs w:val="24"/>
        </w:rPr>
        <w:t>)</w:t>
      </w:r>
      <w:r w:rsidRPr="00D15FB4">
        <w:rPr>
          <w:rFonts w:ascii="Times New Roman" w:hAnsi="Times New Roman"/>
          <w:sz w:val="24"/>
          <w:szCs w:val="24"/>
        </w:rPr>
        <w:t xml:space="preserve"> </w:t>
      </w:r>
      <w:r w:rsidR="00205DA0" w:rsidRPr="00D15FB4">
        <w:rPr>
          <w:rFonts w:ascii="Times New Roman" w:hAnsi="Times New Roman"/>
          <w:sz w:val="24"/>
          <w:szCs w:val="24"/>
        </w:rPr>
        <w:t xml:space="preserve">по следующим </w:t>
      </w:r>
      <w:r w:rsidR="00AD16DC" w:rsidRPr="00D15FB4">
        <w:rPr>
          <w:rFonts w:ascii="Times New Roman" w:hAnsi="Times New Roman"/>
          <w:sz w:val="24"/>
          <w:szCs w:val="24"/>
        </w:rPr>
        <w:t xml:space="preserve"> причинам:</w:t>
      </w:r>
    </w:p>
    <w:p w14:paraId="51C25933" w14:textId="77777777" w:rsidR="00925385" w:rsidRDefault="00C91EAC" w:rsidP="00925385">
      <w:pPr>
        <w:pStyle w:val="a7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FB4">
        <w:rPr>
          <w:rFonts w:ascii="Times New Roman" w:hAnsi="Times New Roman"/>
          <w:sz w:val="24"/>
          <w:szCs w:val="24"/>
        </w:rPr>
        <w:t>1110,0 тыс. руб.</w:t>
      </w:r>
      <w:r w:rsidR="00AD16DC" w:rsidRPr="00D15FB4">
        <w:rPr>
          <w:rFonts w:ascii="Times New Roman" w:hAnsi="Times New Roman"/>
          <w:sz w:val="24"/>
          <w:szCs w:val="24"/>
        </w:rPr>
        <w:t xml:space="preserve">, в том числе: </w:t>
      </w:r>
    </w:p>
    <w:p w14:paraId="27E4D684" w14:textId="77777777" w:rsidR="00925385" w:rsidRDefault="00925385" w:rsidP="000931E4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D15FB4">
        <w:rPr>
          <w:rFonts w:ascii="Times New Roman" w:hAnsi="Times New Roman"/>
          <w:sz w:val="24"/>
          <w:szCs w:val="24"/>
        </w:rPr>
        <w:t>300,0 тыс. руб</w:t>
      </w:r>
      <w:r>
        <w:rPr>
          <w:rFonts w:ascii="Times New Roman" w:hAnsi="Times New Roman"/>
          <w:sz w:val="24"/>
          <w:szCs w:val="24"/>
        </w:rPr>
        <w:t>.</w:t>
      </w:r>
      <w:r w:rsidRPr="00D15FB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D16DC" w:rsidRPr="00D15FB4">
        <w:rPr>
          <w:rFonts w:ascii="Times New Roman" w:hAnsi="Times New Roman"/>
          <w:sz w:val="24"/>
          <w:szCs w:val="24"/>
        </w:rPr>
        <w:t xml:space="preserve">не истек срок оплаты штрафов; </w:t>
      </w:r>
    </w:p>
    <w:p w14:paraId="11064964" w14:textId="77777777" w:rsidR="00925385" w:rsidRDefault="00925385" w:rsidP="000931E4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D15FB4">
        <w:rPr>
          <w:rFonts w:ascii="Times New Roman" w:hAnsi="Times New Roman"/>
          <w:sz w:val="24"/>
          <w:szCs w:val="24"/>
        </w:rPr>
        <w:t>200,0 тыс. руб</w:t>
      </w:r>
      <w:r>
        <w:rPr>
          <w:rFonts w:ascii="Times New Roman" w:hAnsi="Times New Roman"/>
          <w:sz w:val="24"/>
          <w:szCs w:val="24"/>
        </w:rPr>
        <w:t>.</w:t>
      </w:r>
      <w:r w:rsidRPr="00D15FB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D16DC" w:rsidRPr="00D15FB4">
        <w:rPr>
          <w:rFonts w:ascii="Times New Roman" w:hAnsi="Times New Roman"/>
          <w:sz w:val="24"/>
          <w:szCs w:val="24"/>
        </w:rPr>
        <w:t>в судебном производстве находятся дела о назначении штрафов;</w:t>
      </w:r>
    </w:p>
    <w:p w14:paraId="393A4716" w14:textId="77777777" w:rsidR="00925385" w:rsidRDefault="00925385" w:rsidP="000931E4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5FB4">
        <w:rPr>
          <w:rFonts w:ascii="Times New Roman" w:hAnsi="Times New Roman"/>
          <w:sz w:val="24"/>
          <w:szCs w:val="24"/>
        </w:rPr>
        <w:t>50,0 тыс. руб</w:t>
      </w:r>
      <w:r>
        <w:rPr>
          <w:rFonts w:ascii="Times New Roman" w:hAnsi="Times New Roman"/>
          <w:sz w:val="24"/>
          <w:szCs w:val="24"/>
        </w:rPr>
        <w:t>.</w:t>
      </w:r>
      <w:r w:rsidRPr="00D15FB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F0DFC" w:rsidRPr="00D15FB4">
        <w:rPr>
          <w:rFonts w:ascii="Times New Roman" w:hAnsi="Times New Roman"/>
          <w:sz w:val="24"/>
          <w:szCs w:val="24"/>
        </w:rPr>
        <w:t>ожидается погашение штрафа</w:t>
      </w:r>
      <w:r w:rsidR="000931E4">
        <w:rPr>
          <w:rFonts w:ascii="Times New Roman" w:hAnsi="Times New Roman"/>
          <w:sz w:val="24"/>
          <w:szCs w:val="24"/>
        </w:rPr>
        <w:t xml:space="preserve"> за счет имущества предприятия, </w:t>
      </w:r>
      <w:r w:rsidR="009F0DFC" w:rsidRPr="00D15FB4">
        <w:rPr>
          <w:rFonts w:ascii="Times New Roman" w:hAnsi="Times New Roman"/>
          <w:sz w:val="24"/>
          <w:szCs w:val="24"/>
        </w:rPr>
        <w:t xml:space="preserve">внесенного в перечень кредиторов; </w:t>
      </w:r>
    </w:p>
    <w:p w14:paraId="0BC5F4F5" w14:textId="77777777" w:rsidR="0039653E" w:rsidRDefault="0039653E" w:rsidP="000931E4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45305F0" w14:textId="77777777" w:rsidR="00AD16DC" w:rsidRPr="00D15FB4" w:rsidRDefault="00925385" w:rsidP="00925385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05BE" w:rsidRPr="00D15FB4">
        <w:rPr>
          <w:rFonts w:ascii="Times New Roman" w:hAnsi="Times New Roman"/>
          <w:sz w:val="24"/>
          <w:szCs w:val="24"/>
        </w:rPr>
        <w:t>560,0 тыс. руб.</w:t>
      </w:r>
      <w:r w:rsidR="003E05BE">
        <w:rPr>
          <w:rFonts w:ascii="Times New Roman" w:hAnsi="Times New Roman"/>
          <w:sz w:val="24"/>
          <w:szCs w:val="24"/>
        </w:rPr>
        <w:t xml:space="preserve"> </w:t>
      </w:r>
      <w:r w:rsidR="003E05BE" w:rsidRPr="00D15FB4">
        <w:rPr>
          <w:rFonts w:ascii="Times New Roman" w:hAnsi="Times New Roman"/>
          <w:sz w:val="24"/>
          <w:szCs w:val="24"/>
        </w:rPr>
        <w:t>–</w:t>
      </w:r>
      <w:r w:rsidR="003E05BE">
        <w:rPr>
          <w:rFonts w:ascii="Times New Roman" w:hAnsi="Times New Roman"/>
          <w:sz w:val="24"/>
          <w:szCs w:val="24"/>
        </w:rPr>
        <w:t xml:space="preserve"> </w:t>
      </w:r>
      <w:r w:rsidR="008C6172">
        <w:rPr>
          <w:rFonts w:ascii="Times New Roman" w:hAnsi="Times New Roman"/>
          <w:sz w:val="24"/>
          <w:szCs w:val="24"/>
        </w:rPr>
        <w:t>дела переданы</w:t>
      </w:r>
      <w:r w:rsidR="009F0DFC" w:rsidRPr="00D15FB4">
        <w:rPr>
          <w:rFonts w:ascii="Times New Roman" w:hAnsi="Times New Roman"/>
          <w:sz w:val="24"/>
          <w:szCs w:val="24"/>
        </w:rPr>
        <w:t xml:space="preserve"> в Службу судебных приставов для</w:t>
      </w:r>
      <w:r w:rsidR="00BF368A" w:rsidRPr="00D15FB4">
        <w:rPr>
          <w:rFonts w:ascii="Times New Roman" w:hAnsi="Times New Roman"/>
          <w:sz w:val="24"/>
          <w:szCs w:val="24"/>
        </w:rPr>
        <w:t xml:space="preserve"> </w:t>
      </w:r>
      <w:r w:rsidR="009F0DFC" w:rsidRPr="00D15FB4">
        <w:rPr>
          <w:rFonts w:ascii="Times New Roman" w:hAnsi="Times New Roman"/>
          <w:sz w:val="24"/>
          <w:szCs w:val="24"/>
        </w:rPr>
        <w:t>взыскания штрафов</w:t>
      </w:r>
      <w:r w:rsidR="00BF368A" w:rsidRPr="00D15FB4">
        <w:rPr>
          <w:rFonts w:ascii="Times New Roman" w:hAnsi="Times New Roman"/>
          <w:sz w:val="24"/>
          <w:szCs w:val="24"/>
        </w:rPr>
        <w:t>;</w:t>
      </w:r>
    </w:p>
    <w:p w14:paraId="4017A519" w14:textId="77777777" w:rsidR="009050DE" w:rsidRPr="00D15FB4" w:rsidRDefault="00BF368A" w:rsidP="00925385">
      <w:pPr>
        <w:pStyle w:val="a7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15FB4">
        <w:rPr>
          <w:rFonts w:ascii="Times New Roman" w:hAnsi="Times New Roman"/>
          <w:sz w:val="24"/>
          <w:szCs w:val="24"/>
        </w:rPr>
        <w:t>14</w:t>
      </w:r>
      <w:r w:rsidR="00EA4386" w:rsidRPr="00D15FB4">
        <w:rPr>
          <w:rFonts w:ascii="Times New Roman" w:hAnsi="Times New Roman"/>
          <w:sz w:val="24"/>
          <w:szCs w:val="24"/>
        </w:rPr>
        <w:t xml:space="preserve"> </w:t>
      </w:r>
      <w:r w:rsidRPr="00D15FB4">
        <w:rPr>
          <w:rFonts w:ascii="Times New Roman" w:hAnsi="Times New Roman"/>
          <w:sz w:val="24"/>
          <w:szCs w:val="24"/>
        </w:rPr>
        <w:t xml:space="preserve">тыс. руб. – </w:t>
      </w:r>
      <w:r w:rsidR="000D4B19" w:rsidRPr="00D15FB4">
        <w:rPr>
          <w:rFonts w:ascii="Times New Roman" w:hAnsi="Times New Roman"/>
          <w:sz w:val="24"/>
          <w:szCs w:val="24"/>
        </w:rPr>
        <w:t xml:space="preserve">остаток аванса за услуги почтовой связи </w:t>
      </w:r>
      <w:r w:rsidR="000D4B19">
        <w:rPr>
          <w:rFonts w:ascii="Times New Roman" w:hAnsi="Times New Roman"/>
          <w:sz w:val="24"/>
          <w:szCs w:val="24"/>
        </w:rPr>
        <w:t>(</w:t>
      </w:r>
      <w:r w:rsidRPr="00D15FB4">
        <w:rPr>
          <w:rFonts w:ascii="Times New Roman" w:hAnsi="Times New Roman"/>
          <w:sz w:val="24"/>
          <w:szCs w:val="24"/>
        </w:rPr>
        <w:t xml:space="preserve">по расчетам </w:t>
      </w:r>
      <w:r w:rsidR="00C91EAC" w:rsidRPr="00D15FB4">
        <w:rPr>
          <w:rFonts w:ascii="Times New Roman" w:hAnsi="Times New Roman"/>
          <w:sz w:val="24"/>
          <w:szCs w:val="24"/>
        </w:rPr>
        <w:t>с</w:t>
      </w:r>
      <w:r w:rsidR="000D4B19">
        <w:rPr>
          <w:rFonts w:ascii="Times New Roman" w:hAnsi="Times New Roman"/>
          <w:sz w:val="24"/>
          <w:szCs w:val="24"/>
        </w:rPr>
        <w:t xml:space="preserve"> контрагентом АО «Почта России»)</w:t>
      </w:r>
      <w:r w:rsidR="00C91EAC" w:rsidRPr="00D15FB4">
        <w:rPr>
          <w:rFonts w:ascii="Times New Roman" w:hAnsi="Times New Roman"/>
          <w:sz w:val="24"/>
          <w:szCs w:val="24"/>
        </w:rPr>
        <w:t>.</w:t>
      </w:r>
    </w:p>
    <w:p w14:paraId="662592E9" w14:textId="77777777" w:rsidR="00CB09A1" w:rsidRPr="00D15FB4" w:rsidRDefault="00277D0B" w:rsidP="00990BD8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B4">
        <w:rPr>
          <w:rFonts w:ascii="Times New Roman" w:hAnsi="Times New Roman" w:cs="Times New Roman"/>
          <w:sz w:val="24"/>
          <w:szCs w:val="24"/>
        </w:rPr>
        <w:t>В</w:t>
      </w:r>
      <w:r w:rsidR="004B2DFB" w:rsidRPr="00D15FB4">
        <w:rPr>
          <w:rFonts w:ascii="Times New Roman" w:hAnsi="Times New Roman" w:cs="Times New Roman"/>
          <w:sz w:val="24"/>
          <w:szCs w:val="24"/>
        </w:rPr>
        <w:t xml:space="preserve"> </w:t>
      </w:r>
      <w:r w:rsidR="00CB09A1" w:rsidRPr="00D15FB4">
        <w:rPr>
          <w:rFonts w:ascii="Times New Roman" w:hAnsi="Times New Roman" w:cs="Times New Roman"/>
          <w:sz w:val="24"/>
          <w:szCs w:val="24"/>
        </w:rPr>
        <w:t xml:space="preserve">составе дебиторской задолженности </w:t>
      </w:r>
      <w:r w:rsidR="00C367BE" w:rsidRPr="00D15FB4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B09A1" w:rsidRPr="00D15FB4">
        <w:rPr>
          <w:rFonts w:ascii="Times New Roman" w:hAnsi="Times New Roman" w:cs="Times New Roman"/>
          <w:sz w:val="24"/>
          <w:szCs w:val="24"/>
        </w:rPr>
        <w:t xml:space="preserve">имеется просроченная задолженность в сумме </w:t>
      </w:r>
      <w:r w:rsidR="004B2DFB" w:rsidRPr="00D15FB4">
        <w:rPr>
          <w:rFonts w:ascii="Times New Roman" w:hAnsi="Times New Roman" w:cs="Times New Roman"/>
          <w:sz w:val="24"/>
          <w:szCs w:val="24"/>
        </w:rPr>
        <w:t xml:space="preserve">610,0 </w:t>
      </w:r>
      <w:r w:rsidR="00CB09A1" w:rsidRPr="00D15FB4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3559D8" w:rsidRPr="00D15FB4">
        <w:rPr>
          <w:rFonts w:ascii="Times New Roman" w:hAnsi="Times New Roman" w:cs="Times New Roman"/>
          <w:sz w:val="24"/>
          <w:szCs w:val="24"/>
        </w:rPr>
        <w:t xml:space="preserve">которая сложилась по причине истечения </w:t>
      </w:r>
      <w:r w:rsidR="00CB09A1" w:rsidRPr="00D15FB4">
        <w:rPr>
          <w:rFonts w:ascii="Times New Roman" w:hAnsi="Times New Roman" w:cs="Times New Roman"/>
          <w:sz w:val="24"/>
          <w:szCs w:val="24"/>
        </w:rPr>
        <w:t>срок</w:t>
      </w:r>
      <w:r w:rsidR="003559D8" w:rsidRPr="00D15FB4">
        <w:rPr>
          <w:rFonts w:ascii="Times New Roman" w:hAnsi="Times New Roman" w:cs="Times New Roman"/>
          <w:sz w:val="24"/>
          <w:szCs w:val="24"/>
        </w:rPr>
        <w:t>а</w:t>
      </w:r>
      <w:r w:rsidR="00CB09A1" w:rsidRPr="00D15FB4">
        <w:rPr>
          <w:rFonts w:ascii="Times New Roman" w:hAnsi="Times New Roman" w:cs="Times New Roman"/>
          <w:sz w:val="24"/>
          <w:szCs w:val="24"/>
        </w:rPr>
        <w:t xml:space="preserve"> добровольной оплаты штрафов. </w:t>
      </w:r>
    </w:p>
    <w:p w14:paraId="4A81E4E3" w14:textId="77777777" w:rsidR="009E70CF" w:rsidRPr="00D15FB4" w:rsidRDefault="00C367BE" w:rsidP="009E70CF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15FB4">
        <w:rPr>
          <w:rFonts w:ascii="Times New Roman" w:hAnsi="Times New Roman"/>
          <w:sz w:val="24"/>
          <w:szCs w:val="24"/>
        </w:rPr>
        <w:t>Согласно Пояснительной записк</w:t>
      </w:r>
      <w:r w:rsidR="000D4B19">
        <w:rPr>
          <w:rFonts w:ascii="Times New Roman" w:hAnsi="Times New Roman"/>
          <w:sz w:val="24"/>
          <w:szCs w:val="24"/>
        </w:rPr>
        <w:t>е</w:t>
      </w:r>
      <w:r w:rsidRPr="00D15FB4">
        <w:rPr>
          <w:rFonts w:ascii="Times New Roman" w:hAnsi="Times New Roman"/>
          <w:sz w:val="24"/>
          <w:szCs w:val="24"/>
        </w:rPr>
        <w:t xml:space="preserve"> Комитета (ф.0503160) у ГКУ «Экспертный центр» по состоянию на 01.01.202</w:t>
      </w:r>
      <w:r w:rsidR="00E56403" w:rsidRPr="00D15FB4">
        <w:rPr>
          <w:rFonts w:ascii="Times New Roman" w:hAnsi="Times New Roman"/>
          <w:sz w:val="24"/>
          <w:szCs w:val="24"/>
        </w:rPr>
        <w:t xml:space="preserve">1 </w:t>
      </w:r>
      <w:r w:rsidRPr="00D15FB4">
        <w:rPr>
          <w:rFonts w:ascii="Times New Roman" w:hAnsi="Times New Roman"/>
          <w:sz w:val="24"/>
          <w:szCs w:val="24"/>
        </w:rPr>
        <w:t xml:space="preserve">образовалась дебиторская задолженность в сумме 0,9 тыс. руб., </w:t>
      </w:r>
      <w:r w:rsidR="009E70CF" w:rsidRPr="00D15FB4">
        <w:rPr>
          <w:rFonts w:ascii="Times New Roman" w:hAnsi="Times New Roman"/>
          <w:sz w:val="24"/>
          <w:szCs w:val="24"/>
        </w:rPr>
        <w:t>по расчетам с контрагентом</w:t>
      </w:r>
      <w:r w:rsidR="00277D0B" w:rsidRPr="00D15FB4">
        <w:rPr>
          <w:rFonts w:ascii="Times New Roman" w:hAnsi="Times New Roman"/>
          <w:sz w:val="24"/>
          <w:szCs w:val="24"/>
        </w:rPr>
        <w:t xml:space="preserve"> (</w:t>
      </w:r>
      <w:r w:rsidR="009E70CF" w:rsidRPr="00D15FB4">
        <w:rPr>
          <w:rFonts w:ascii="Times New Roman" w:hAnsi="Times New Roman"/>
          <w:sz w:val="24"/>
          <w:szCs w:val="24"/>
        </w:rPr>
        <w:t>остаток аванса за услуги связи</w:t>
      </w:r>
      <w:r w:rsidR="00277D0B" w:rsidRPr="00D15FB4">
        <w:rPr>
          <w:rFonts w:ascii="Times New Roman" w:hAnsi="Times New Roman"/>
          <w:sz w:val="24"/>
          <w:szCs w:val="24"/>
        </w:rPr>
        <w:t>)</w:t>
      </w:r>
      <w:r w:rsidR="009E70CF" w:rsidRPr="00D15FB4">
        <w:rPr>
          <w:rFonts w:ascii="Times New Roman" w:hAnsi="Times New Roman"/>
          <w:sz w:val="24"/>
          <w:szCs w:val="24"/>
        </w:rPr>
        <w:t>.</w:t>
      </w:r>
    </w:p>
    <w:p w14:paraId="7436B60C" w14:textId="77777777" w:rsidR="00CB09A1" w:rsidRPr="00D15FB4" w:rsidRDefault="00CB09A1" w:rsidP="00990BD8">
      <w:pPr>
        <w:ind w:firstLine="709"/>
        <w:jc w:val="both"/>
        <w:rPr>
          <w:rFonts w:ascii="Times New Roman" w:hAnsi="Times New Roman"/>
          <w:i/>
          <w:u w:val="single"/>
          <w:lang w:val="ru-RU"/>
        </w:rPr>
      </w:pPr>
      <w:r w:rsidRPr="00D15FB4">
        <w:rPr>
          <w:rFonts w:ascii="Times New Roman" w:hAnsi="Times New Roman"/>
          <w:i/>
          <w:u w:val="single"/>
          <w:lang w:val="ru-RU"/>
        </w:rPr>
        <w:t xml:space="preserve">Состояние кредиторской задолженности </w:t>
      </w:r>
    </w:p>
    <w:p w14:paraId="71F2E58A" w14:textId="77777777" w:rsidR="000634C5" w:rsidRPr="00D15FB4" w:rsidRDefault="00CB09A1" w:rsidP="00990BD8">
      <w:pPr>
        <w:ind w:firstLine="709"/>
        <w:jc w:val="both"/>
        <w:rPr>
          <w:rFonts w:ascii="Times New Roman" w:hAnsi="Times New Roman"/>
          <w:lang w:val="ru-RU"/>
        </w:rPr>
      </w:pPr>
      <w:r w:rsidRPr="00D15FB4">
        <w:rPr>
          <w:rFonts w:ascii="Times New Roman" w:hAnsi="Times New Roman"/>
          <w:lang w:val="ru-RU"/>
        </w:rPr>
        <w:t>По данным ф.0503130 и ф.0503169 на 01.01.202</w:t>
      </w:r>
      <w:r w:rsidR="000634C5" w:rsidRPr="00D15FB4">
        <w:rPr>
          <w:rFonts w:ascii="Times New Roman" w:hAnsi="Times New Roman"/>
          <w:lang w:val="ru-RU"/>
        </w:rPr>
        <w:t>1</w:t>
      </w:r>
      <w:r w:rsidRPr="00D15FB4">
        <w:rPr>
          <w:rFonts w:ascii="Times New Roman" w:hAnsi="Times New Roman"/>
          <w:lang w:val="ru-RU"/>
        </w:rPr>
        <w:t xml:space="preserve"> кредиторская задолженность </w:t>
      </w:r>
      <w:r w:rsidR="00C367BE" w:rsidRPr="00D15FB4">
        <w:rPr>
          <w:rFonts w:ascii="Times New Roman" w:hAnsi="Times New Roman"/>
          <w:lang w:val="ru-RU"/>
        </w:rPr>
        <w:t>у Комитета и ГКУ «Экспертный центр» отсутствует.</w:t>
      </w:r>
    </w:p>
    <w:p w14:paraId="0E5CD0A7" w14:textId="77777777" w:rsidR="003F254D" w:rsidRPr="001F22FB" w:rsidRDefault="003F254D" w:rsidP="00CB09A1">
      <w:pPr>
        <w:tabs>
          <w:tab w:val="left" w:pos="1196"/>
        </w:tabs>
        <w:jc w:val="center"/>
        <w:rPr>
          <w:rFonts w:ascii="Times New Roman" w:hAnsi="Times New Roman"/>
          <w:b/>
          <w:i/>
          <w:color w:val="0070C0"/>
          <w:lang w:val="ru-RU"/>
        </w:rPr>
      </w:pPr>
    </w:p>
    <w:p w14:paraId="19BD5157" w14:textId="77777777" w:rsidR="00CB09A1" w:rsidRPr="008756B8" w:rsidRDefault="00CB09A1" w:rsidP="00CB09A1">
      <w:pPr>
        <w:tabs>
          <w:tab w:val="left" w:pos="1196"/>
        </w:tabs>
        <w:jc w:val="center"/>
        <w:rPr>
          <w:rFonts w:ascii="Times New Roman" w:hAnsi="Times New Roman"/>
          <w:b/>
          <w:lang w:val="ru-RU"/>
        </w:rPr>
      </w:pPr>
      <w:r w:rsidRPr="008756B8">
        <w:rPr>
          <w:rFonts w:ascii="Times New Roman" w:hAnsi="Times New Roman"/>
          <w:b/>
          <w:lang w:val="ru-RU"/>
        </w:rPr>
        <w:t>Организация  внутреннего финансового аудита</w:t>
      </w:r>
    </w:p>
    <w:p w14:paraId="0EE632B4" w14:textId="77777777" w:rsidR="00CB09A1" w:rsidRPr="008756B8" w:rsidRDefault="00CB09A1" w:rsidP="0035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756B8">
        <w:rPr>
          <w:rFonts w:ascii="Times New Roman" w:hAnsi="Times New Roman"/>
          <w:lang w:val="ru-RU" w:eastAsia="ru-RU" w:bidi="ar-SA"/>
        </w:rPr>
        <w:t xml:space="preserve">Согласно ст. 160.2-1 Бюджетного кодекса РФ к бюджетным полномочиям </w:t>
      </w:r>
      <w:r w:rsidR="0058049E" w:rsidRPr="008756B8">
        <w:rPr>
          <w:rFonts w:ascii="Times New Roman" w:hAnsi="Times New Roman"/>
          <w:lang w:val="ru-RU" w:eastAsia="ru-RU" w:bidi="ar-SA"/>
        </w:rPr>
        <w:t xml:space="preserve">главных администраторов бюджетных средств </w:t>
      </w:r>
      <w:r w:rsidRPr="008756B8">
        <w:rPr>
          <w:rFonts w:ascii="Times New Roman" w:hAnsi="Times New Roman"/>
          <w:lang w:val="ru-RU" w:eastAsia="ru-RU" w:bidi="ar-SA"/>
        </w:rPr>
        <w:t>относится, в том числе организация и осуществление внутреннего финансового аудита в сфере своей деятель</w:t>
      </w:r>
      <w:r w:rsidR="0058049E" w:rsidRPr="008756B8">
        <w:rPr>
          <w:rFonts w:ascii="Times New Roman" w:hAnsi="Times New Roman"/>
          <w:lang w:val="ru-RU" w:eastAsia="ru-RU" w:bidi="ar-SA"/>
        </w:rPr>
        <w:t>ности</w:t>
      </w:r>
      <w:r w:rsidRPr="008756B8">
        <w:rPr>
          <w:rFonts w:ascii="Times New Roman" w:hAnsi="Times New Roman"/>
          <w:lang w:val="ru-RU" w:eastAsia="ru-RU" w:bidi="ar-SA"/>
        </w:rPr>
        <w:t>.</w:t>
      </w:r>
    </w:p>
    <w:p w14:paraId="3033CA6E" w14:textId="77777777" w:rsidR="00CB09A1" w:rsidRPr="008756B8" w:rsidRDefault="00CB09A1" w:rsidP="003559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8756B8">
        <w:rPr>
          <w:rFonts w:ascii="Times New Roman" w:hAnsi="Times New Roman"/>
          <w:lang w:val="ru-RU" w:eastAsia="ru-RU" w:bidi="ar-SA"/>
        </w:rPr>
        <w:t xml:space="preserve">В соответствии с п.3 приказа Комитета от 07.06.2019 №99-ВН полномочиями по осуществлению внутреннего финансового аудита наделена заместитель председателя </w:t>
      </w:r>
      <w:r w:rsidR="00BD73C5" w:rsidRPr="008756B8">
        <w:rPr>
          <w:rFonts w:ascii="Times New Roman" w:hAnsi="Times New Roman"/>
          <w:lang w:val="ru-RU" w:eastAsia="ru-RU" w:bidi="ar-SA"/>
        </w:rPr>
        <w:t>КТР</w:t>
      </w:r>
      <w:r w:rsidRPr="008756B8">
        <w:rPr>
          <w:rFonts w:ascii="Times New Roman" w:hAnsi="Times New Roman"/>
          <w:lang w:val="ru-RU" w:eastAsia="ru-RU" w:bidi="ar-SA"/>
        </w:rPr>
        <w:t>.</w:t>
      </w:r>
    </w:p>
    <w:p w14:paraId="18237D55" w14:textId="39DBECBB" w:rsidR="00CB09A1" w:rsidRPr="008756B8" w:rsidRDefault="0058049E" w:rsidP="003559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8756B8">
        <w:rPr>
          <w:rFonts w:ascii="Times New Roman" w:hAnsi="Times New Roman"/>
          <w:lang w:val="ru-RU" w:eastAsia="ru-RU" w:bidi="ar-SA"/>
        </w:rPr>
        <w:t>П</w:t>
      </w:r>
      <w:r w:rsidR="00CB09A1" w:rsidRPr="008756B8">
        <w:rPr>
          <w:rFonts w:ascii="Times New Roman" w:hAnsi="Times New Roman"/>
          <w:lang w:val="ru-RU" w:eastAsia="ru-RU" w:bidi="ar-SA"/>
        </w:rPr>
        <w:t>лан внутреннего финансового аудита на 20</w:t>
      </w:r>
      <w:r w:rsidR="00747D86" w:rsidRPr="008756B8">
        <w:rPr>
          <w:rFonts w:ascii="Times New Roman" w:hAnsi="Times New Roman"/>
          <w:lang w:val="ru-RU" w:eastAsia="ru-RU" w:bidi="ar-SA"/>
        </w:rPr>
        <w:t>20</w:t>
      </w:r>
      <w:r w:rsidR="00CB09A1" w:rsidRPr="008756B8">
        <w:rPr>
          <w:rFonts w:ascii="Times New Roman" w:hAnsi="Times New Roman"/>
          <w:lang w:val="ru-RU" w:eastAsia="ru-RU" w:bidi="ar-SA"/>
        </w:rPr>
        <w:t xml:space="preserve"> год, утверждённ</w:t>
      </w:r>
      <w:r w:rsidRPr="008756B8">
        <w:rPr>
          <w:rFonts w:ascii="Times New Roman" w:hAnsi="Times New Roman"/>
          <w:lang w:val="ru-RU" w:eastAsia="ru-RU" w:bidi="ar-SA"/>
        </w:rPr>
        <w:t>ый</w:t>
      </w:r>
      <w:r w:rsidR="00CB09A1" w:rsidRPr="008756B8">
        <w:rPr>
          <w:rFonts w:ascii="Times New Roman" w:hAnsi="Times New Roman"/>
          <w:lang w:val="ru-RU" w:eastAsia="ru-RU" w:bidi="ar-SA"/>
        </w:rPr>
        <w:t xml:space="preserve"> приказом Комитета от </w:t>
      </w:r>
      <w:r w:rsidR="00747D86" w:rsidRPr="008756B8">
        <w:rPr>
          <w:rFonts w:ascii="Times New Roman" w:hAnsi="Times New Roman"/>
          <w:lang w:val="ru-RU" w:eastAsia="ru-RU" w:bidi="ar-SA"/>
        </w:rPr>
        <w:t>11</w:t>
      </w:r>
      <w:r w:rsidR="00CB09A1" w:rsidRPr="008756B8">
        <w:rPr>
          <w:rFonts w:ascii="Times New Roman" w:hAnsi="Times New Roman"/>
          <w:lang w:val="ru-RU" w:eastAsia="ru-RU" w:bidi="ar-SA"/>
        </w:rPr>
        <w:t>.12.201</w:t>
      </w:r>
      <w:r w:rsidR="00747D86" w:rsidRPr="008756B8">
        <w:rPr>
          <w:rFonts w:ascii="Times New Roman" w:hAnsi="Times New Roman"/>
          <w:lang w:val="ru-RU" w:eastAsia="ru-RU" w:bidi="ar-SA"/>
        </w:rPr>
        <w:t>9</w:t>
      </w:r>
      <w:r w:rsidR="00CB09A1" w:rsidRPr="008756B8">
        <w:rPr>
          <w:rFonts w:ascii="Times New Roman" w:hAnsi="Times New Roman"/>
          <w:lang w:val="ru-RU" w:eastAsia="ru-RU" w:bidi="ar-SA"/>
        </w:rPr>
        <w:t xml:space="preserve"> №1</w:t>
      </w:r>
      <w:r w:rsidR="00747D86" w:rsidRPr="008756B8">
        <w:rPr>
          <w:rFonts w:ascii="Times New Roman" w:hAnsi="Times New Roman"/>
          <w:lang w:val="ru-RU" w:eastAsia="ru-RU" w:bidi="ar-SA"/>
        </w:rPr>
        <w:t>92</w:t>
      </w:r>
      <w:r w:rsidR="00CB09A1" w:rsidRPr="008756B8">
        <w:rPr>
          <w:rFonts w:ascii="Times New Roman" w:hAnsi="Times New Roman"/>
          <w:lang w:val="ru-RU" w:eastAsia="ru-RU" w:bidi="ar-SA"/>
        </w:rPr>
        <w:t>-ВН,</w:t>
      </w:r>
      <w:r w:rsidRPr="008756B8">
        <w:rPr>
          <w:rFonts w:ascii="Times New Roman" w:hAnsi="Times New Roman"/>
          <w:lang w:val="ru-RU" w:eastAsia="ru-RU" w:bidi="ar-SA"/>
        </w:rPr>
        <w:t xml:space="preserve"> выполнен</w:t>
      </w:r>
      <w:r w:rsidR="000128D3">
        <w:rPr>
          <w:rFonts w:ascii="Times New Roman" w:hAnsi="Times New Roman"/>
          <w:lang w:val="ru-RU" w:eastAsia="ru-RU" w:bidi="ar-SA"/>
        </w:rPr>
        <w:t xml:space="preserve"> –</w:t>
      </w:r>
      <w:r w:rsidR="00CB09A1" w:rsidRPr="008756B8">
        <w:rPr>
          <w:rFonts w:ascii="Times New Roman" w:hAnsi="Times New Roman"/>
          <w:lang w:val="ru-RU" w:eastAsia="ru-RU" w:bidi="ar-SA"/>
        </w:rPr>
        <w:t xml:space="preserve"> </w:t>
      </w:r>
      <w:r w:rsidR="00747D86" w:rsidRPr="008756B8">
        <w:rPr>
          <w:rFonts w:ascii="Times New Roman" w:hAnsi="Times New Roman"/>
          <w:lang w:val="ru-RU" w:eastAsia="ru-RU" w:bidi="ar-SA"/>
        </w:rPr>
        <w:t>28.08.2020</w:t>
      </w:r>
      <w:r w:rsidR="00CB09A1" w:rsidRPr="008756B8">
        <w:rPr>
          <w:rFonts w:ascii="Times New Roman" w:hAnsi="Times New Roman"/>
          <w:lang w:val="ru-RU" w:eastAsia="ru-RU" w:bidi="ar-SA"/>
        </w:rPr>
        <w:t xml:space="preserve"> проведена аудиторская проверка операций, необходимых для выполнения КТР внутренних бюджетных процедур</w:t>
      </w:r>
      <w:r w:rsidR="00747D86" w:rsidRPr="008756B8">
        <w:rPr>
          <w:rFonts w:ascii="Times New Roman" w:hAnsi="Times New Roman"/>
          <w:lang w:val="ru-RU" w:eastAsia="ru-RU" w:bidi="ar-SA"/>
        </w:rPr>
        <w:t>, и оценка осуществления внутреннего финансового контроля.</w:t>
      </w:r>
      <w:r w:rsidR="00CB09A1" w:rsidRPr="008756B8">
        <w:rPr>
          <w:rFonts w:ascii="Times New Roman" w:hAnsi="Times New Roman"/>
          <w:lang w:val="ru-RU" w:eastAsia="ru-RU" w:bidi="ar-SA"/>
        </w:rPr>
        <w:t xml:space="preserve"> По результатам проверки нарушений не выявлено.  </w:t>
      </w:r>
    </w:p>
    <w:p w14:paraId="248BDC47" w14:textId="77777777" w:rsidR="008F562A" w:rsidRPr="008756B8" w:rsidRDefault="008F562A" w:rsidP="003559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lang w:val="ru-RU" w:eastAsia="ru-RU" w:bidi="ar-SA"/>
        </w:rPr>
      </w:pPr>
    </w:p>
    <w:p w14:paraId="248E64B0" w14:textId="77777777" w:rsidR="00BA1D17" w:rsidRPr="00840E65" w:rsidRDefault="00BA1D17" w:rsidP="003559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840E65">
        <w:rPr>
          <w:rFonts w:ascii="Times New Roman" w:hAnsi="Times New Roman"/>
          <w:b/>
          <w:lang w:val="ru-RU" w:eastAsia="ru-RU" w:bidi="ar-SA"/>
        </w:rPr>
        <w:t>Выводы</w:t>
      </w:r>
    </w:p>
    <w:p w14:paraId="05B98610" w14:textId="77777777" w:rsidR="00343FA2" w:rsidRPr="00FE11BF" w:rsidRDefault="00FE11BF" w:rsidP="00FE11BF">
      <w:pPr>
        <w:pStyle w:val="a7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1BF">
        <w:rPr>
          <w:rFonts w:ascii="Times New Roman" w:hAnsi="Times New Roman"/>
          <w:sz w:val="24"/>
          <w:szCs w:val="24"/>
        </w:rPr>
        <w:t>1</w:t>
      </w:r>
      <w:r w:rsidR="008756B8" w:rsidRPr="00FE11BF">
        <w:rPr>
          <w:rFonts w:ascii="Times New Roman" w:hAnsi="Times New Roman"/>
          <w:sz w:val="24"/>
          <w:szCs w:val="24"/>
        </w:rPr>
        <w:t xml:space="preserve">. </w:t>
      </w:r>
      <w:r w:rsidR="008756B8" w:rsidRPr="00FE11BF">
        <w:rPr>
          <w:rFonts w:ascii="Times New Roman" w:eastAsia="MS Mincho" w:hAnsi="Times New Roman"/>
          <w:sz w:val="24"/>
          <w:szCs w:val="24"/>
          <w:lang w:eastAsia="ja-JP"/>
        </w:rPr>
        <w:t>Кассовые расходы КТР за 2020 год составили 984859,7 тыс. руб., или 99,2% к бюджетным назначениям.</w:t>
      </w:r>
      <w:r w:rsidRPr="00FE11BF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343FA2" w:rsidRPr="00FE11BF">
        <w:rPr>
          <w:rFonts w:ascii="Times New Roman" w:eastAsia="MS Mincho" w:hAnsi="Times New Roman"/>
          <w:sz w:val="24"/>
          <w:szCs w:val="24"/>
          <w:lang w:eastAsia="ja-JP"/>
        </w:rPr>
        <w:t>Общая сумма неисполненных бюджетных назначений по расходам за 2020 год составила 8096,5 тыс. руб</w:t>
      </w:r>
      <w:r w:rsidR="002F5EF8" w:rsidRPr="00FE11BF">
        <w:rPr>
          <w:rFonts w:ascii="Times New Roman" w:eastAsia="MS Mincho" w:hAnsi="Times New Roman"/>
          <w:sz w:val="24"/>
          <w:szCs w:val="24"/>
          <w:lang w:eastAsia="ja-JP"/>
        </w:rPr>
        <w:t>лей</w:t>
      </w:r>
      <w:r w:rsidR="00343FA2" w:rsidRPr="00FE11BF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2F5EF8" w:rsidRPr="00FE11BF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343FA2" w:rsidRPr="00FE11BF">
        <w:rPr>
          <w:rFonts w:ascii="Times New Roman" w:hAnsi="Times New Roman"/>
          <w:sz w:val="24"/>
          <w:szCs w:val="24"/>
        </w:rPr>
        <w:t xml:space="preserve">Неисполнение бюджетных назначений сложилось в основном в связи с </w:t>
      </w:r>
      <w:r w:rsidR="002F5EF8" w:rsidRPr="00FE11BF">
        <w:rPr>
          <w:rFonts w:ascii="Times New Roman" w:hAnsi="Times New Roman"/>
          <w:sz w:val="24"/>
          <w:szCs w:val="24"/>
        </w:rPr>
        <w:t xml:space="preserve">перечислением </w:t>
      </w:r>
      <w:r w:rsidR="00343FA2" w:rsidRPr="00FE11BF">
        <w:rPr>
          <w:rFonts w:ascii="Times New Roman" w:hAnsi="Times New Roman"/>
          <w:sz w:val="24"/>
          <w:szCs w:val="24"/>
        </w:rPr>
        <w:t>городскому округу город-герой Волгоград межбюджетных трансфертов на 7907,4 тыс. руб.</w:t>
      </w:r>
      <w:r w:rsidR="000128D3" w:rsidRPr="000128D3">
        <w:rPr>
          <w:rFonts w:ascii="Times New Roman" w:hAnsi="Times New Roman"/>
          <w:sz w:val="24"/>
          <w:szCs w:val="24"/>
        </w:rPr>
        <w:t xml:space="preserve"> </w:t>
      </w:r>
      <w:r w:rsidR="000128D3" w:rsidRPr="00FE11BF">
        <w:rPr>
          <w:rFonts w:ascii="Times New Roman" w:hAnsi="Times New Roman"/>
          <w:sz w:val="24"/>
          <w:szCs w:val="24"/>
        </w:rPr>
        <w:t>меньше</w:t>
      </w:r>
      <w:r w:rsidR="00343FA2" w:rsidRPr="00FE11BF">
        <w:rPr>
          <w:rFonts w:ascii="Times New Roman" w:hAnsi="Times New Roman"/>
          <w:sz w:val="24"/>
          <w:szCs w:val="24"/>
        </w:rPr>
        <w:t>,</w:t>
      </w:r>
      <w:r w:rsidR="000128D3">
        <w:rPr>
          <w:rFonts w:ascii="Times New Roman" w:hAnsi="Times New Roman"/>
          <w:sz w:val="24"/>
          <w:szCs w:val="24"/>
        </w:rPr>
        <w:t xml:space="preserve"> то есть</w:t>
      </w:r>
      <w:r w:rsidR="00343FA2" w:rsidRPr="00FE11BF">
        <w:rPr>
          <w:rFonts w:ascii="Times New Roman" w:hAnsi="Times New Roman"/>
          <w:sz w:val="24"/>
          <w:szCs w:val="24"/>
        </w:rPr>
        <w:t xml:space="preserve"> в пределах сумм, необходимых для оплаты денежных обязательств. </w:t>
      </w:r>
    </w:p>
    <w:p w14:paraId="3958CA49" w14:textId="6F6F60AA" w:rsidR="00FE11BF" w:rsidRPr="00840E65" w:rsidRDefault="00FE11BF" w:rsidP="00FE11B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Cs/>
          <w:lang w:val="ru-RU"/>
        </w:rPr>
        <w:t>2</w:t>
      </w:r>
      <w:r w:rsidRPr="00840E65">
        <w:rPr>
          <w:rFonts w:ascii="Times New Roman" w:hAnsi="Times New Roman"/>
          <w:bCs/>
          <w:lang w:val="ru-RU"/>
        </w:rPr>
        <w:t xml:space="preserve">. </w:t>
      </w:r>
      <w:r w:rsidR="00E67729">
        <w:rPr>
          <w:rFonts w:ascii="Times New Roman" w:hAnsi="Times New Roman"/>
          <w:bCs/>
          <w:lang w:val="ru-RU"/>
        </w:rPr>
        <w:t>В</w:t>
      </w:r>
      <w:r w:rsidR="00E67729" w:rsidRPr="00114996">
        <w:rPr>
          <w:rFonts w:ascii="Times New Roman" w:hAnsi="Times New Roman"/>
          <w:lang w:val="ru-RU"/>
        </w:rPr>
        <w:t xml:space="preserve"> связи с созданием в 2020 году ГКУ «Экспертный центр» в целом штатная численность КТР и ГКУ «Экспертный центр» увеличилась на 9 чел</w:t>
      </w:r>
      <w:r w:rsidR="00FC404A">
        <w:rPr>
          <w:rFonts w:ascii="Times New Roman" w:hAnsi="Times New Roman"/>
          <w:lang w:val="ru-RU"/>
        </w:rPr>
        <w:t xml:space="preserve">овек. </w:t>
      </w:r>
      <w:r w:rsidR="00E67729">
        <w:rPr>
          <w:rFonts w:ascii="Times New Roman" w:hAnsi="Times New Roman"/>
          <w:lang w:val="ru-RU"/>
        </w:rPr>
        <w:t>В результате у</w:t>
      </w:r>
      <w:r w:rsidR="00E67729" w:rsidRPr="000D7D31">
        <w:rPr>
          <w:rFonts w:ascii="Times New Roman" w:hAnsi="Times New Roman"/>
          <w:lang w:val="ru-RU"/>
        </w:rPr>
        <w:t xml:space="preserve">величение объема расчетного фонда оплаты труда </w:t>
      </w:r>
      <w:r w:rsidR="00E67729">
        <w:rPr>
          <w:rFonts w:ascii="Times New Roman" w:hAnsi="Times New Roman"/>
          <w:lang w:val="ru-RU"/>
        </w:rPr>
        <w:t xml:space="preserve">с начислениями </w:t>
      </w:r>
      <w:r w:rsidR="00E67729" w:rsidRPr="000D7D31">
        <w:rPr>
          <w:rFonts w:ascii="Times New Roman" w:hAnsi="Times New Roman"/>
          <w:lang w:val="ru-RU"/>
        </w:rPr>
        <w:t>составило 5</w:t>
      </w:r>
      <w:r w:rsidR="00627D12">
        <w:rPr>
          <w:rFonts w:ascii="Times New Roman" w:hAnsi="Times New Roman"/>
          <w:lang w:val="ru-RU"/>
        </w:rPr>
        <w:t>20</w:t>
      </w:r>
      <w:r w:rsidR="00E67729" w:rsidRPr="000D7D31">
        <w:rPr>
          <w:rFonts w:ascii="Times New Roman" w:hAnsi="Times New Roman"/>
          <w:lang w:val="ru-RU"/>
        </w:rPr>
        <w:t>7,4 тыс. руб.</w:t>
      </w:r>
      <w:r w:rsidR="00E67729">
        <w:rPr>
          <w:rFonts w:ascii="Times New Roman" w:hAnsi="Times New Roman"/>
          <w:lang w:val="ru-RU"/>
        </w:rPr>
        <w:t>,</w:t>
      </w:r>
      <w:r w:rsidR="00E67729" w:rsidRPr="000D7D31">
        <w:rPr>
          <w:rFonts w:ascii="Times New Roman" w:hAnsi="Times New Roman"/>
          <w:lang w:val="ru-RU"/>
        </w:rPr>
        <w:t xml:space="preserve"> или 9,2 процента.</w:t>
      </w:r>
    </w:p>
    <w:p w14:paraId="1E552E62" w14:textId="77777777" w:rsidR="00343FA2" w:rsidRPr="00840E65" w:rsidRDefault="00343FA2" w:rsidP="00343FA2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E65">
        <w:rPr>
          <w:rFonts w:ascii="Times New Roman" w:hAnsi="Times New Roman"/>
          <w:lang w:eastAsia="ru-RU"/>
        </w:rPr>
        <w:t>3.</w:t>
      </w:r>
      <w:r w:rsidRPr="00840E65">
        <w:rPr>
          <w:rFonts w:ascii="Times New Roman" w:hAnsi="Times New Roman"/>
          <w:sz w:val="24"/>
          <w:szCs w:val="24"/>
        </w:rPr>
        <w:t xml:space="preserve"> Дебиторская задолженность КТР на 01.01.2021 составила 1125,0 тыс. руб., или увеличилась на 603,6 тыс. руб.</w:t>
      </w:r>
      <w:r w:rsidR="00FE11BF">
        <w:rPr>
          <w:rFonts w:ascii="Times New Roman" w:hAnsi="Times New Roman"/>
          <w:sz w:val="24"/>
          <w:szCs w:val="24"/>
        </w:rPr>
        <w:t>, что</w:t>
      </w:r>
      <w:r w:rsidRPr="00840E65">
        <w:rPr>
          <w:rFonts w:ascii="Times New Roman" w:hAnsi="Times New Roman"/>
          <w:sz w:val="24"/>
          <w:szCs w:val="24"/>
        </w:rPr>
        <w:t xml:space="preserve"> в основном </w:t>
      </w:r>
      <w:r w:rsidR="002F5EF8">
        <w:rPr>
          <w:rFonts w:ascii="Times New Roman" w:hAnsi="Times New Roman"/>
          <w:sz w:val="24"/>
          <w:szCs w:val="24"/>
        </w:rPr>
        <w:t>обусловлено</w:t>
      </w:r>
      <w:r w:rsidR="00840E65" w:rsidRPr="00840E65">
        <w:rPr>
          <w:rFonts w:ascii="Times New Roman" w:hAnsi="Times New Roman"/>
          <w:sz w:val="24"/>
          <w:szCs w:val="24"/>
        </w:rPr>
        <w:t xml:space="preserve"> </w:t>
      </w:r>
      <w:r w:rsidRPr="00840E65">
        <w:rPr>
          <w:rFonts w:ascii="Times New Roman" w:hAnsi="Times New Roman"/>
          <w:sz w:val="24"/>
          <w:szCs w:val="24"/>
        </w:rPr>
        <w:t>не</w:t>
      </w:r>
      <w:r w:rsidR="00840E65" w:rsidRPr="00840E65">
        <w:rPr>
          <w:rFonts w:ascii="Times New Roman" w:hAnsi="Times New Roman"/>
          <w:sz w:val="24"/>
          <w:szCs w:val="24"/>
        </w:rPr>
        <w:t xml:space="preserve">истечением </w:t>
      </w:r>
      <w:r w:rsidRPr="00840E65">
        <w:rPr>
          <w:rFonts w:ascii="Times New Roman" w:hAnsi="Times New Roman"/>
          <w:sz w:val="24"/>
          <w:szCs w:val="24"/>
        </w:rPr>
        <w:t>срок</w:t>
      </w:r>
      <w:r w:rsidR="00840E65" w:rsidRPr="00840E65">
        <w:rPr>
          <w:rFonts w:ascii="Times New Roman" w:hAnsi="Times New Roman"/>
          <w:sz w:val="24"/>
          <w:szCs w:val="24"/>
        </w:rPr>
        <w:t>а</w:t>
      </w:r>
      <w:r w:rsidRPr="00840E65">
        <w:rPr>
          <w:rFonts w:ascii="Times New Roman" w:hAnsi="Times New Roman"/>
          <w:sz w:val="24"/>
          <w:szCs w:val="24"/>
        </w:rPr>
        <w:t xml:space="preserve"> оплаты штрафов; </w:t>
      </w:r>
      <w:r w:rsidR="00840E65" w:rsidRPr="00840E65">
        <w:rPr>
          <w:rFonts w:ascii="Times New Roman" w:hAnsi="Times New Roman"/>
          <w:sz w:val="24"/>
          <w:szCs w:val="24"/>
        </w:rPr>
        <w:t xml:space="preserve">нахождением дел о назначении штрафов </w:t>
      </w:r>
      <w:r w:rsidRPr="00840E65">
        <w:rPr>
          <w:rFonts w:ascii="Times New Roman" w:hAnsi="Times New Roman"/>
          <w:sz w:val="24"/>
          <w:szCs w:val="24"/>
        </w:rPr>
        <w:t>в судебном производстве; переда</w:t>
      </w:r>
      <w:r w:rsidR="00840E65" w:rsidRPr="00840E65">
        <w:rPr>
          <w:rFonts w:ascii="Times New Roman" w:hAnsi="Times New Roman"/>
          <w:sz w:val="24"/>
          <w:szCs w:val="24"/>
        </w:rPr>
        <w:t>чей</w:t>
      </w:r>
      <w:r w:rsidRPr="00840E65">
        <w:rPr>
          <w:rFonts w:ascii="Times New Roman" w:hAnsi="Times New Roman"/>
          <w:sz w:val="24"/>
          <w:szCs w:val="24"/>
        </w:rPr>
        <w:t xml:space="preserve"> дел в Службу судебных приставов для взыскания штрафов; остат</w:t>
      </w:r>
      <w:r w:rsidR="00840E65" w:rsidRPr="00840E65">
        <w:rPr>
          <w:rFonts w:ascii="Times New Roman" w:hAnsi="Times New Roman"/>
          <w:sz w:val="24"/>
          <w:szCs w:val="24"/>
        </w:rPr>
        <w:t>ком</w:t>
      </w:r>
      <w:r w:rsidRPr="00840E65">
        <w:rPr>
          <w:rFonts w:ascii="Times New Roman" w:hAnsi="Times New Roman"/>
          <w:sz w:val="24"/>
          <w:szCs w:val="24"/>
        </w:rPr>
        <w:t xml:space="preserve"> аванса за услуги почтовой связи.</w:t>
      </w:r>
    </w:p>
    <w:p w14:paraId="44E1339A" w14:textId="77777777" w:rsidR="00343FA2" w:rsidRPr="00840E65" w:rsidRDefault="00343FA2" w:rsidP="00343FA2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65">
        <w:rPr>
          <w:rFonts w:ascii="Times New Roman" w:hAnsi="Times New Roman" w:cs="Times New Roman"/>
          <w:sz w:val="24"/>
          <w:szCs w:val="24"/>
        </w:rPr>
        <w:t xml:space="preserve">В составе дебиторской задолженности Комитета имеется просроченная задолженность в сумме 610,0 тыс. руб., которая сложилась по причине истечения срока добровольной оплаты штрафов. </w:t>
      </w:r>
    </w:p>
    <w:p w14:paraId="0E857829" w14:textId="45158D89" w:rsidR="00840E65" w:rsidRDefault="00343FA2" w:rsidP="00840E65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lang w:eastAsia="ru-RU"/>
        </w:rPr>
        <w:lastRenderedPageBreak/>
        <w:t xml:space="preserve"> </w:t>
      </w:r>
      <w:r w:rsidR="00840E65" w:rsidRPr="005212D0">
        <w:rPr>
          <w:rFonts w:ascii="Times New Roman" w:hAnsi="Times New Roman"/>
          <w:b/>
          <w:i/>
          <w:sz w:val="24"/>
          <w:szCs w:val="24"/>
        </w:rPr>
        <w:t>На основании вышеизложенного</w:t>
      </w:r>
      <w:r w:rsidR="00840E65">
        <w:rPr>
          <w:rFonts w:ascii="Times New Roman" w:hAnsi="Times New Roman"/>
          <w:b/>
          <w:i/>
          <w:sz w:val="24"/>
          <w:szCs w:val="24"/>
        </w:rPr>
        <w:t>,</w:t>
      </w:r>
      <w:r w:rsidR="00840E65" w:rsidRPr="005212D0">
        <w:rPr>
          <w:rFonts w:ascii="Times New Roman" w:hAnsi="Times New Roman"/>
          <w:b/>
          <w:i/>
          <w:sz w:val="24"/>
          <w:szCs w:val="24"/>
        </w:rPr>
        <w:t xml:space="preserve"> контрольно-счетная палата Волгоградской области рекомендует комитету </w:t>
      </w:r>
      <w:r w:rsidR="009F32EA">
        <w:rPr>
          <w:rFonts w:ascii="Times New Roman" w:hAnsi="Times New Roman"/>
          <w:b/>
          <w:i/>
          <w:sz w:val="24"/>
          <w:szCs w:val="24"/>
        </w:rPr>
        <w:t xml:space="preserve">тарифного регулирования </w:t>
      </w:r>
      <w:r w:rsidR="00840E65" w:rsidRPr="005212D0">
        <w:rPr>
          <w:rFonts w:ascii="Times New Roman" w:hAnsi="Times New Roman"/>
          <w:b/>
          <w:i/>
          <w:sz w:val="24"/>
          <w:szCs w:val="24"/>
        </w:rPr>
        <w:t>Волгоградской области:</w:t>
      </w:r>
    </w:p>
    <w:p w14:paraId="259AAC97" w14:textId="77777777" w:rsidR="00FC404A" w:rsidRDefault="00FC404A" w:rsidP="00840E65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15F6EDF" w14:textId="77777777" w:rsidR="00840E65" w:rsidRPr="008756B8" w:rsidRDefault="00840E65" w:rsidP="00840E65">
      <w:pPr>
        <w:ind w:left="-284" w:firstLine="992"/>
        <w:jc w:val="both"/>
        <w:rPr>
          <w:rFonts w:ascii="Times New Roman" w:hAnsi="Times New Roman"/>
          <w:lang w:val="ru-RU"/>
        </w:rPr>
      </w:pPr>
      <w:r w:rsidRPr="00840E65">
        <w:rPr>
          <w:rFonts w:ascii="Times New Roman" w:hAnsi="Times New Roman"/>
          <w:lang w:val="ru-RU"/>
        </w:rPr>
        <w:t>Во исполнение полномочий по администрированию доходов, предусмотренных п.2 ст.160.1 БК РФ, провести мероприятия по погашению дебиторской задолженности по собственным доходам. Осуществлять контроль за дебиторской задолженностью по денежным взысканиям (штрафам), сложивш</w:t>
      </w:r>
      <w:r w:rsidR="002F5EF8">
        <w:rPr>
          <w:rFonts w:ascii="Times New Roman" w:hAnsi="Times New Roman"/>
          <w:lang w:val="ru-RU"/>
        </w:rPr>
        <w:t>ейся</w:t>
      </w:r>
      <w:r w:rsidRPr="00840E65">
        <w:rPr>
          <w:rFonts w:ascii="Times New Roman" w:hAnsi="Times New Roman"/>
          <w:lang w:val="ru-RU"/>
        </w:rPr>
        <w:t xml:space="preserve"> на 01.01.2021,</w:t>
      </w:r>
      <w:r w:rsidR="002F2535">
        <w:rPr>
          <w:rFonts w:ascii="Times New Roman" w:hAnsi="Times New Roman"/>
          <w:lang w:val="ru-RU"/>
        </w:rPr>
        <w:t xml:space="preserve"> </w:t>
      </w:r>
      <w:r w:rsidRPr="00840E65">
        <w:rPr>
          <w:rFonts w:ascii="Times New Roman" w:hAnsi="Times New Roman"/>
          <w:lang w:val="ru-RU"/>
        </w:rPr>
        <w:t xml:space="preserve">с целью </w:t>
      </w:r>
      <w:r w:rsidR="002F5EF8" w:rsidRPr="00840E65">
        <w:rPr>
          <w:rFonts w:ascii="Times New Roman" w:hAnsi="Times New Roman"/>
          <w:lang w:val="ru-RU"/>
        </w:rPr>
        <w:t xml:space="preserve">снижения </w:t>
      </w:r>
      <w:r w:rsidR="002F5EF8">
        <w:rPr>
          <w:rFonts w:ascii="Times New Roman" w:hAnsi="Times New Roman"/>
          <w:lang w:val="ru-RU"/>
        </w:rPr>
        <w:t xml:space="preserve">и </w:t>
      </w:r>
      <w:r w:rsidRPr="00840E65">
        <w:rPr>
          <w:rFonts w:ascii="Times New Roman" w:hAnsi="Times New Roman"/>
          <w:lang w:val="ru-RU"/>
        </w:rPr>
        <w:t>недопущения образования просроченной дебиторской задолженности.</w:t>
      </w:r>
    </w:p>
    <w:p w14:paraId="352D40C5" w14:textId="77777777" w:rsidR="00C260AF" w:rsidRPr="008756B8" w:rsidRDefault="00C260AF" w:rsidP="00C260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lang w:val="ru-RU" w:eastAsia="ru-RU" w:bidi="ar-SA"/>
        </w:rPr>
      </w:pPr>
    </w:p>
    <w:p w14:paraId="241AA4A7" w14:textId="77777777" w:rsidR="00BA1D17" w:rsidRPr="008756B8" w:rsidRDefault="00BA1D17" w:rsidP="003559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highlight w:val="yellow"/>
          <w:lang w:val="ru-RU" w:eastAsia="ru-RU" w:bidi="ar-SA"/>
        </w:rPr>
      </w:pPr>
    </w:p>
    <w:p w14:paraId="2D2B6167" w14:textId="3D093207" w:rsidR="00CB09A1" w:rsidRPr="00AE1E2A" w:rsidRDefault="00AE1E2A" w:rsidP="00FC404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8756B8">
        <w:rPr>
          <w:rFonts w:ascii="Times New Roman" w:hAnsi="Times New Roman"/>
          <w:b/>
          <w:lang w:val="ru-RU" w:eastAsia="ru-RU" w:bidi="ar-SA"/>
        </w:rPr>
        <w:t xml:space="preserve">Аудитор                                                                                                                </w:t>
      </w:r>
      <w:r w:rsidR="00FC404A">
        <w:rPr>
          <w:rFonts w:ascii="Times New Roman" w:hAnsi="Times New Roman"/>
          <w:b/>
          <w:lang w:val="ru-RU" w:eastAsia="ru-RU" w:bidi="ar-SA"/>
        </w:rPr>
        <w:t xml:space="preserve">         </w:t>
      </w:r>
      <w:r w:rsidRPr="00AE1E2A">
        <w:rPr>
          <w:rFonts w:ascii="Times New Roman" w:hAnsi="Times New Roman"/>
          <w:b/>
          <w:lang w:val="ru-RU" w:eastAsia="ru-RU" w:bidi="ar-SA"/>
        </w:rPr>
        <w:t>Е.А.</w:t>
      </w:r>
      <w:r>
        <w:rPr>
          <w:rFonts w:ascii="Times New Roman" w:hAnsi="Times New Roman"/>
          <w:b/>
          <w:lang w:val="ru-RU" w:eastAsia="ru-RU" w:bidi="ar-SA"/>
        </w:rPr>
        <w:t xml:space="preserve"> </w:t>
      </w:r>
      <w:r w:rsidRPr="00AE1E2A">
        <w:rPr>
          <w:rFonts w:ascii="Times New Roman" w:hAnsi="Times New Roman"/>
          <w:b/>
          <w:lang w:val="ru-RU" w:eastAsia="ru-RU" w:bidi="ar-SA"/>
        </w:rPr>
        <w:t>Пузикова</w:t>
      </w:r>
    </w:p>
    <w:sectPr w:rsidR="00CB09A1" w:rsidRPr="00AE1E2A" w:rsidSect="00995EDD">
      <w:headerReference w:type="default" r:id="rId10"/>
      <w:pgSz w:w="11906" w:h="16838"/>
      <w:pgMar w:top="709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C63" w14:textId="77777777" w:rsidR="00D27B21" w:rsidRDefault="00D27B21" w:rsidP="00101149">
      <w:r>
        <w:separator/>
      </w:r>
    </w:p>
  </w:endnote>
  <w:endnote w:type="continuationSeparator" w:id="0">
    <w:p w14:paraId="060FA7A9" w14:textId="77777777" w:rsidR="00D27B21" w:rsidRDefault="00D27B21" w:rsidP="0010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6819" w14:textId="77777777" w:rsidR="00D27B21" w:rsidRDefault="00D27B21" w:rsidP="00101149">
      <w:r>
        <w:separator/>
      </w:r>
    </w:p>
  </w:footnote>
  <w:footnote w:type="continuationSeparator" w:id="0">
    <w:p w14:paraId="2DFEEF69" w14:textId="77777777" w:rsidR="00D27B21" w:rsidRDefault="00D27B21" w:rsidP="0010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23"/>
      <w:docPartObj>
        <w:docPartGallery w:val="Page Numbers (Top of Page)"/>
        <w:docPartUnique/>
      </w:docPartObj>
    </w:sdtPr>
    <w:sdtEndPr/>
    <w:sdtContent>
      <w:p w14:paraId="6365584C" w14:textId="77777777" w:rsidR="003C1958" w:rsidRDefault="0014729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0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1F94ED9" w14:textId="77777777" w:rsidR="003C1958" w:rsidRDefault="003C195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347D"/>
    <w:multiLevelType w:val="hybridMultilevel"/>
    <w:tmpl w:val="B132437A"/>
    <w:lvl w:ilvl="0" w:tplc="4A808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640EA"/>
    <w:multiLevelType w:val="hybridMultilevel"/>
    <w:tmpl w:val="27E60AD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6D4341"/>
    <w:multiLevelType w:val="hybridMultilevel"/>
    <w:tmpl w:val="B3A410E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EBB683A"/>
    <w:multiLevelType w:val="hybridMultilevel"/>
    <w:tmpl w:val="A276F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92710C"/>
    <w:multiLevelType w:val="hybridMultilevel"/>
    <w:tmpl w:val="13C27C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446A5D"/>
    <w:multiLevelType w:val="hybridMultilevel"/>
    <w:tmpl w:val="3C2CD4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12099F"/>
    <w:multiLevelType w:val="hybridMultilevel"/>
    <w:tmpl w:val="B5200E3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03E7F"/>
    <w:multiLevelType w:val="hybridMultilevel"/>
    <w:tmpl w:val="B9823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558"/>
    <w:rsid w:val="0000007D"/>
    <w:rsid w:val="00002085"/>
    <w:rsid w:val="00004D8F"/>
    <w:rsid w:val="00004E92"/>
    <w:rsid w:val="000064CD"/>
    <w:rsid w:val="00007EF3"/>
    <w:rsid w:val="000123C2"/>
    <w:rsid w:val="000128D3"/>
    <w:rsid w:val="000137B9"/>
    <w:rsid w:val="00015770"/>
    <w:rsid w:val="00015D0D"/>
    <w:rsid w:val="000163A4"/>
    <w:rsid w:val="0002269B"/>
    <w:rsid w:val="000308EE"/>
    <w:rsid w:val="00032407"/>
    <w:rsid w:val="00032D7E"/>
    <w:rsid w:val="00033979"/>
    <w:rsid w:val="00044ED4"/>
    <w:rsid w:val="00046D00"/>
    <w:rsid w:val="00047979"/>
    <w:rsid w:val="00053A40"/>
    <w:rsid w:val="000634C5"/>
    <w:rsid w:val="00066AA0"/>
    <w:rsid w:val="00072E75"/>
    <w:rsid w:val="00077288"/>
    <w:rsid w:val="00081B04"/>
    <w:rsid w:val="000841B1"/>
    <w:rsid w:val="00086041"/>
    <w:rsid w:val="00091D37"/>
    <w:rsid w:val="000931E4"/>
    <w:rsid w:val="00095CBC"/>
    <w:rsid w:val="0009708E"/>
    <w:rsid w:val="000A471B"/>
    <w:rsid w:val="000A678B"/>
    <w:rsid w:val="000A6EAC"/>
    <w:rsid w:val="000A7388"/>
    <w:rsid w:val="000B26B9"/>
    <w:rsid w:val="000B51D9"/>
    <w:rsid w:val="000C0DD8"/>
    <w:rsid w:val="000C1907"/>
    <w:rsid w:val="000C28D6"/>
    <w:rsid w:val="000C3129"/>
    <w:rsid w:val="000D1E1D"/>
    <w:rsid w:val="000D2946"/>
    <w:rsid w:val="000D4112"/>
    <w:rsid w:val="000D4B19"/>
    <w:rsid w:val="000D5934"/>
    <w:rsid w:val="000D7539"/>
    <w:rsid w:val="000D7D31"/>
    <w:rsid w:val="000E00A6"/>
    <w:rsid w:val="000E19BC"/>
    <w:rsid w:val="000E1AE0"/>
    <w:rsid w:val="000E1B6C"/>
    <w:rsid w:val="000F01F6"/>
    <w:rsid w:val="000F1A5D"/>
    <w:rsid w:val="000F234C"/>
    <w:rsid w:val="000F2D1A"/>
    <w:rsid w:val="000F4E67"/>
    <w:rsid w:val="000F5B02"/>
    <w:rsid w:val="00100CF7"/>
    <w:rsid w:val="00101149"/>
    <w:rsid w:val="00101278"/>
    <w:rsid w:val="0010190A"/>
    <w:rsid w:val="001071A8"/>
    <w:rsid w:val="00114996"/>
    <w:rsid w:val="0011545F"/>
    <w:rsid w:val="0011608C"/>
    <w:rsid w:val="00121D75"/>
    <w:rsid w:val="001252CA"/>
    <w:rsid w:val="001319BF"/>
    <w:rsid w:val="00135FCD"/>
    <w:rsid w:val="0013679A"/>
    <w:rsid w:val="00137235"/>
    <w:rsid w:val="001372D0"/>
    <w:rsid w:val="00137BFD"/>
    <w:rsid w:val="00140DBB"/>
    <w:rsid w:val="001420EF"/>
    <w:rsid w:val="00142A14"/>
    <w:rsid w:val="00147290"/>
    <w:rsid w:val="00154308"/>
    <w:rsid w:val="0015629E"/>
    <w:rsid w:val="00157B37"/>
    <w:rsid w:val="00157BF0"/>
    <w:rsid w:val="00162C93"/>
    <w:rsid w:val="00166D18"/>
    <w:rsid w:val="001675CC"/>
    <w:rsid w:val="00171D8B"/>
    <w:rsid w:val="001738F0"/>
    <w:rsid w:val="00175148"/>
    <w:rsid w:val="001846A1"/>
    <w:rsid w:val="00184FBE"/>
    <w:rsid w:val="00187B52"/>
    <w:rsid w:val="00190AC3"/>
    <w:rsid w:val="00194114"/>
    <w:rsid w:val="001A2199"/>
    <w:rsid w:val="001A2AFF"/>
    <w:rsid w:val="001A7045"/>
    <w:rsid w:val="001A7551"/>
    <w:rsid w:val="001B49ED"/>
    <w:rsid w:val="001C1ADA"/>
    <w:rsid w:val="001C3DE7"/>
    <w:rsid w:val="001C45D3"/>
    <w:rsid w:val="001C5F4E"/>
    <w:rsid w:val="001C707A"/>
    <w:rsid w:val="001C7347"/>
    <w:rsid w:val="001D0384"/>
    <w:rsid w:val="001D1F56"/>
    <w:rsid w:val="001D458A"/>
    <w:rsid w:val="001D6588"/>
    <w:rsid w:val="001E176A"/>
    <w:rsid w:val="001E63E3"/>
    <w:rsid w:val="001E65FA"/>
    <w:rsid w:val="001E6A5A"/>
    <w:rsid w:val="001F041F"/>
    <w:rsid w:val="001F22FB"/>
    <w:rsid w:val="001F23C4"/>
    <w:rsid w:val="001F3D21"/>
    <w:rsid w:val="001F5515"/>
    <w:rsid w:val="001F62FB"/>
    <w:rsid w:val="001F646C"/>
    <w:rsid w:val="001F6694"/>
    <w:rsid w:val="001F690B"/>
    <w:rsid w:val="002017BA"/>
    <w:rsid w:val="00202782"/>
    <w:rsid w:val="00203D24"/>
    <w:rsid w:val="00205DA0"/>
    <w:rsid w:val="00212EB4"/>
    <w:rsid w:val="0021372B"/>
    <w:rsid w:val="00216981"/>
    <w:rsid w:val="002233D6"/>
    <w:rsid w:val="0022462A"/>
    <w:rsid w:val="0022484B"/>
    <w:rsid w:val="00227714"/>
    <w:rsid w:val="00227C1B"/>
    <w:rsid w:val="002311F6"/>
    <w:rsid w:val="00232E67"/>
    <w:rsid w:val="00233AE9"/>
    <w:rsid w:val="002349AF"/>
    <w:rsid w:val="00235BC2"/>
    <w:rsid w:val="0023703E"/>
    <w:rsid w:val="00245D23"/>
    <w:rsid w:val="002471E2"/>
    <w:rsid w:val="0025122D"/>
    <w:rsid w:val="00255022"/>
    <w:rsid w:val="002568EA"/>
    <w:rsid w:val="00257FA1"/>
    <w:rsid w:val="00261598"/>
    <w:rsid w:val="00261E76"/>
    <w:rsid w:val="00262B04"/>
    <w:rsid w:val="00265F74"/>
    <w:rsid w:val="0026675D"/>
    <w:rsid w:val="00267740"/>
    <w:rsid w:val="002679E1"/>
    <w:rsid w:val="00271099"/>
    <w:rsid w:val="002710DD"/>
    <w:rsid w:val="00271A52"/>
    <w:rsid w:val="0027238E"/>
    <w:rsid w:val="0027243B"/>
    <w:rsid w:val="0027369B"/>
    <w:rsid w:val="00275B5E"/>
    <w:rsid w:val="00277D0B"/>
    <w:rsid w:val="0028401D"/>
    <w:rsid w:val="00291068"/>
    <w:rsid w:val="00291FDF"/>
    <w:rsid w:val="002978D0"/>
    <w:rsid w:val="002A2ABB"/>
    <w:rsid w:val="002A7E6F"/>
    <w:rsid w:val="002B2F6F"/>
    <w:rsid w:val="002B4E45"/>
    <w:rsid w:val="002B6446"/>
    <w:rsid w:val="002C1518"/>
    <w:rsid w:val="002C2E3C"/>
    <w:rsid w:val="002D6D0E"/>
    <w:rsid w:val="002E21CC"/>
    <w:rsid w:val="002E4ACF"/>
    <w:rsid w:val="002E62DA"/>
    <w:rsid w:val="002F2535"/>
    <w:rsid w:val="002F3411"/>
    <w:rsid w:val="002F5EF8"/>
    <w:rsid w:val="00300B6E"/>
    <w:rsid w:val="003035F0"/>
    <w:rsid w:val="00304145"/>
    <w:rsid w:val="00304E39"/>
    <w:rsid w:val="00306F31"/>
    <w:rsid w:val="003070AE"/>
    <w:rsid w:val="003115BF"/>
    <w:rsid w:val="00312723"/>
    <w:rsid w:val="00312CA0"/>
    <w:rsid w:val="00312DE5"/>
    <w:rsid w:val="00315C68"/>
    <w:rsid w:val="003160CE"/>
    <w:rsid w:val="003170CC"/>
    <w:rsid w:val="003176B2"/>
    <w:rsid w:val="003176DF"/>
    <w:rsid w:val="00320128"/>
    <w:rsid w:val="00325791"/>
    <w:rsid w:val="003354EB"/>
    <w:rsid w:val="00335776"/>
    <w:rsid w:val="003365F3"/>
    <w:rsid w:val="003365F7"/>
    <w:rsid w:val="00342A6B"/>
    <w:rsid w:val="00343FA2"/>
    <w:rsid w:val="003462FC"/>
    <w:rsid w:val="00346B1B"/>
    <w:rsid w:val="003548A3"/>
    <w:rsid w:val="00354D87"/>
    <w:rsid w:val="003559D8"/>
    <w:rsid w:val="00357B5F"/>
    <w:rsid w:val="003633C3"/>
    <w:rsid w:val="0036700E"/>
    <w:rsid w:val="00367D45"/>
    <w:rsid w:val="003704EA"/>
    <w:rsid w:val="003724B4"/>
    <w:rsid w:val="003726FF"/>
    <w:rsid w:val="00373E22"/>
    <w:rsid w:val="00375962"/>
    <w:rsid w:val="003831A9"/>
    <w:rsid w:val="00383469"/>
    <w:rsid w:val="00386874"/>
    <w:rsid w:val="00386FBC"/>
    <w:rsid w:val="00387496"/>
    <w:rsid w:val="00393185"/>
    <w:rsid w:val="0039427D"/>
    <w:rsid w:val="0039498E"/>
    <w:rsid w:val="00396399"/>
    <w:rsid w:val="0039653E"/>
    <w:rsid w:val="003A3C9C"/>
    <w:rsid w:val="003A57CF"/>
    <w:rsid w:val="003A592A"/>
    <w:rsid w:val="003B3571"/>
    <w:rsid w:val="003B7C38"/>
    <w:rsid w:val="003C0AAF"/>
    <w:rsid w:val="003C1874"/>
    <w:rsid w:val="003C1958"/>
    <w:rsid w:val="003C3CB1"/>
    <w:rsid w:val="003D17E2"/>
    <w:rsid w:val="003D2897"/>
    <w:rsid w:val="003D37E0"/>
    <w:rsid w:val="003D710A"/>
    <w:rsid w:val="003E05BE"/>
    <w:rsid w:val="003E24CD"/>
    <w:rsid w:val="003F254D"/>
    <w:rsid w:val="003F35B2"/>
    <w:rsid w:val="003F5E80"/>
    <w:rsid w:val="004001D1"/>
    <w:rsid w:val="00401AAB"/>
    <w:rsid w:val="00403599"/>
    <w:rsid w:val="00405128"/>
    <w:rsid w:val="00405276"/>
    <w:rsid w:val="00405CBB"/>
    <w:rsid w:val="0041094F"/>
    <w:rsid w:val="004117AF"/>
    <w:rsid w:val="00415D9E"/>
    <w:rsid w:val="004203AF"/>
    <w:rsid w:val="00421397"/>
    <w:rsid w:val="004262A4"/>
    <w:rsid w:val="00427C01"/>
    <w:rsid w:val="00435A89"/>
    <w:rsid w:val="0044075C"/>
    <w:rsid w:val="00440D5A"/>
    <w:rsid w:val="00442D2A"/>
    <w:rsid w:val="00444B93"/>
    <w:rsid w:val="0044733F"/>
    <w:rsid w:val="00450302"/>
    <w:rsid w:val="004512B1"/>
    <w:rsid w:val="00451798"/>
    <w:rsid w:val="004552E7"/>
    <w:rsid w:val="0045545A"/>
    <w:rsid w:val="00461C18"/>
    <w:rsid w:val="00461DDA"/>
    <w:rsid w:val="004649C8"/>
    <w:rsid w:val="004704E9"/>
    <w:rsid w:val="004735E9"/>
    <w:rsid w:val="00473D9C"/>
    <w:rsid w:val="00473DA4"/>
    <w:rsid w:val="0047706C"/>
    <w:rsid w:val="00480328"/>
    <w:rsid w:val="004805EC"/>
    <w:rsid w:val="00481AB0"/>
    <w:rsid w:val="0048221B"/>
    <w:rsid w:val="0048497E"/>
    <w:rsid w:val="00485024"/>
    <w:rsid w:val="00491BF4"/>
    <w:rsid w:val="0049375F"/>
    <w:rsid w:val="004967D0"/>
    <w:rsid w:val="00497737"/>
    <w:rsid w:val="004A0978"/>
    <w:rsid w:val="004A2219"/>
    <w:rsid w:val="004A44A4"/>
    <w:rsid w:val="004A696B"/>
    <w:rsid w:val="004B251F"/>
    <w:rsid w:val="004B2DFB"/>
    <w:rsid w:val="004B584D"/>
    <w:rsid w:val="004C13C5"/>
    <w:rsid w:val="004C428C"/>
    <w:rsid w:val="004C4AB4"/>
    <w:rsid w:val="004C4ED1"/>
    <w:rsid w:val="004D2949"/>
    <w:rsid w:val="004D751D"/>
    <w:rsid w:val="004D76DA"/>
    <w:rsid w:val="004E10BF"/>
    <w:rsid w:val="004E113B"/>
    <w:rsid w:val="004E7D14"/>
    <w:rsid w:val="004F1D96"/>
    <w:rsid w:val="004F537F"/>
    <w:rsid w:val="004F6B19"/>
    <w:rsid w:val="004F6FC2"/>
    <w:rsid w:val="0050245A"/>
    <w:rsid w:val="005041CF"/>
    <w:rsid w:val="00506CE2"/>
    <w:rsid w:val="005110CA"/>
    <w:rsid w:val="00515990"/>
    <w:rsid w:val="005179CD"/>
    <w:rsid w:val="00520085"/>
    <w:rsid w:val="00521913"/>
    <w:rsid w:val="00524473"/>
    <w:rsid w:val="00524F1D"/>
    <w:rsid w:val="00525ED9"/>
    <w:rsid w:val="005263D3"/>
    <w:rsid w:val="0053269E"/>
    <w:rsid w:val="00534570"/>
    <w:rsid w:val="00534DE9"/>
    <w:rsid w:val="005355E0"/>
    <w:rsid w:val="00537A50"/>
    <w:rsid w:val="00544B71"/>
    <w:rsid w:val="0054627B"/>
    <w:rsid w:val="00547D2B"/>
    <w:rsid w:val="00550351"/>
    <w:rsid w:val="005507D3"/>
    <w:rsid w:val="005522CA"/>
    <w:rsid w:val="00553AC2"/>
    <w:rsid w:val="00553CF7"/>
    <w:rsid w:val="00557507"/>
    <w:rsid w:val="005601E6"/>
    <w:rsid w:val="00561A9E"/>
    <w:rsid w:val="00565077"/>
    <w:rsid w:val="00570D04"/>
    <w:rsid w:val="005752F3"/>
    <w:rsid w:val="0058049E"/>
    <w:rsid w:val="0058587E"/>
    <w:rsid w:val="00585F87"/>
    <w:rsid w:val="0058705E"/>
    <w:rsid w:val="0058799E"/>
    <w:rsid w:val="00590A6A"/>
    <w:rsid w:val="00597AC8"/>
    <w:rsid w:val="005A1E06"/>
    <w:rsid w:val="005A5493"/>
    <w:rsid w:val="005A5B28"/>
    <w:rsid w:val="005A6FB1"/>
    <w:rsid w:val="005A7067"/>
    <w:rsid w:val="005B1906"/>
    <w:rsid w:val="005B52D0"/>
    <w:rsid w:val="005C217F"/>
    <w:rsid w:val="005C2DB6"/>
    <w:rsid w:val="005C5521"/>
    <w:rsid w:val="005C6B3B"/>
    <w:rsid w:val="005C7D68"/>
    <w:rsid w:val="005D0E42"/>
    <w:rsid w:val="005D582A"/>
    <w:rsid w:val="005E4E5D"/>
    <w:rsid w:val="005E5778"/>
    <w:rsid w:val="005E7669"/>
    <w:rsid w:val="005F3F47"/>
    <w:rsid w:val="00606FDC"/>
    <w:rsid w:val="00607AC3"/>
    <w:rsid w:val="0061231A"/>
    <w:rsid w:val="006245B7"/>
    <w:rsid w:val="00627D12"/>
    <w:rsid w:val="0063045B"/>
    <w:rsid w:val="00632AA8"/>
    <w:rsid w:val="00633E50"/>
    <w:rsid w:val="0063756E"/>
    <w:rsid w:val="00642574"/>
    <w:rsid w:val="00645112"/>
    <w:rsid w:val="00646C6A"/>
    <w:rsid w:val="00650222"/>
    <w:rsid w:val="00661100"/>
    <w:rsid w:val="0066183F"/>
    <w:rsid w:val="00663E73"/>
    <w:rsid w:val="0066523A"/>
    <w:rsid w:val="00672496"/>
    <w:rsid w:val="00674EFE"/>
    <w:rsid w:val="006816DB"/>
    <w:rsid w:val="006823C1"/>
    <w:rsid w:val="00682F4B"/>
    <w:rsid w:val="00684CB2"/>
    <w:rsid w:val="00685D06"/>
    <w:rsid w:val="00686206"/>
    <w:rsid w:val="006905AE"/>
    <w:rsid w:val="006A00F2"/>
    <w:rsid w:val="006A3B18"/>
    <w:rsid w:val="006A458D"/>
    <w:rsid w:val="006B294E"/>
    <w:rsid w:val="006B2C96"/>
    <w:rsid w:val="006B2CB4"/>
    <w:rsid w:val="006B4FD7"/>
    <w:rsid w:val="006C2F05"/>
    <w:rsid w:val="006C65F9"/>
    <w:rsid w:val="006D0716"/>
    <w:rsid w:val="006D11A4"/>
    <w:rsid w:val="006D29B6"/>
    <w:rsid w:val="006D5C8F"/>
    <w:rsid w:val="006E206A"/>
    <w:rsid w:val="006E754F"/>
    <w:rsid w:val="006F06AA"/>
    <w:rsid w:val="006F29ED"/>
    <w:rsid w:val="006F58F6"/>
    <w:rsid w:val="007053BF"/>
    <w:rsid w:val="00707627"/>
    <w:rsid w:val="0071018F"/>
    <w:rsid w:val="00713A75"/>
    <w:rsid w:val="00713EC5"/>
    <w:rsid w:val="00716F09"/>
    <w:rsid w:val="007236E3"/>
    <w:rsid w:val="00725C55"/>
    <w:rsid w:val="00727AFF"/>
    <w:rsid w:val="00736533"/>
    <w:rsid w:val="00743D6D"/>
    <w:rsid w:val="00744BBE"/>
    <w:rsid w:val="00747D86"/>
    <w:rsid w:val="00751B73"/>
    <w:rsid w:val="00752485"/>
    <w:rsid w:val="007527D3"/>
    <w:rsid w:val="0075377C"/>
    <w:rsid w:val="00756240"/>
    <w:rsid w:val="0077417E"/>
    <w:rsid w:val="0077455F"/>
    <w:rsid w:val="0078210E"/>
    <w:rsid w:val="0078251E"/>
    <w:rsid w:val="007869B2"/>
    <w:rsid w:val="00787227"/>
    <w:rsid w:val="0078736B"/>
    <w:rsid w:val="00787937"/>
    <w:rsid w:val="00791673"/>
    <w:rsid w:val="0079328D"/>
    <w:rsid w:val="007A7310"/>
    <w:rsid w:val="007B15F4"/>
    <w:rsid w:val="007B1FD3"/>
    <w:rsid w:val="007B3040"/>
    <w:rsid w:val="007B5FDA"/>
    <w:rsid w:val="007B6BB3"/>
    <w:rsid w:val="007C2FCB"/>
    <w:rsid w:val="007C42F1"/>
    <w:rsid w:val="007D1B2A"/>
    <w:rsid w:val="007D41FE"/>
    <w:rsid w:val="007D5A48"/>
    <w:rsid w:val="007E1AA6"/>
    <w:rsid w:val="007E47D0"/>
    <w:rsid w:val="007E7BFA"/>
    <w:rsid w:val="007F0716"/>
    <w:rsid w:val="007F37CC"/>
    <w:rsid w:val="007F3A80"/>
    <w:rsid w:val="007F4B25"/>
    <w:rsid w:val="00800E9E"/>
    <w:rsid w:val="00801552"/>
    <w:rsid w:val="00804EA6"/>
    <w:rsid w:val="00804EFB"/>
    <w:rsid w:val="008071DA"/>
    <w:rsid w:val="008072BD"/>
    <w:rsid w:val="00807D5D"/>
    <w:rsid w:val="00820264"/>
    <w:rsid w:val="00821FB0"/>
    <w:rsid w:val="00825228"/>
    <w:rsid w:val="00826390"/>
    <w:rsid w:val="008271B7"/>
    <w:rsid w:val="008342C5"/>
    <w:rsid w:val="00840E65"/>
    <w:rsid w:val="00845905"/>
    <w:rsid w:val="00847728"/>
    <w:rsid w:val="00847B34"/>
    <w:rsid w:val="00850558"/>
    <w:rsid w:val="008564FE"/>
    <w:rsid w:val="008611D9"/>
    <w:rsid w:val="008657E2"/>
    <w:rsid w:val="00873217"/>
    <w:rsid w:val="00874B9C"/>
    <w:rsid w:val="008756B8"/>
    <w:rsid w:val="0088020F"/>
    <w:rsid w:val="00880CA3"/>
    <w:rsid w:val="00881267"/>
    <w:rsid w:val="00890768"/>
    <w:rsid w:val="00891F56"/>
    <w:rsid w:val="00895F7F"/>
    <w:rsid w:val="008A0FE3"/>
    <w:rsid w:val="008A46A5"/>
    <w:rsid w:val="008A5168"/>
    <w:rsid w:val="008A6E2A"/>
    <w:rsid w:val="008A730E"/>
    <w:rsid w:val="008A793F"/>
    <w:rsid w:val="008B466C"/>
    <w:rsid w:val="008C2D59"/>
    <w:rsid w:val="008C3758"/>
    <w:rsid w:val="008C54CB"/>
    <w:rsid w:val="008C6172"/>
    <w:rsid w:val="008C6D1F"/>
    <w:rsid w:val="008D7923"/>
    <w:rsid w:val="008E1052"/>
    <w:rsid w:val="008E3AEA"/>
    <w:rsid w:val="008E51E9"/>
    <w:rsid w:val="008E6A3E"/>
    <w:rsid w:val="008F14BB"/>
    <w:rsid w:val="008F35B1"/>
    <w:rsid w:val="008F562A"/>
    <w:rsid w:val="008F5A2D"/>
    <w:rsid w:val="008F6735"/>
    <w:rsid w:val="008F67FD"/>
    <w:rsid w:val="008F6A9A"/>
    <w:rsid w:val="008F7092"/>
    <w:rsid w:val="008F7CDA"/>
    <w:rsid w:val="00902738"/>
    <w:rsid w:val="00903208"/>
    <w:rsid w:val="009050DE"/>
    <w:rsid w:val="00907E8C"/>
    <w:rsid w:val="00910E44"/>
    <w:rsid w:val="00911413"/>
    <w:rsid w:val="00915140"/>
    <w:rsid w:val="009153EF"/>
    <w:rsid w:val="00915BEE"/>
    <w:rsid w:val="0091606E"/>
    <w:rsid w:val="00916F79"/>
    <w:rsid w:val="009229BB"/>
    <w:rsid w:val="00925385"/>
    <w:rsid w:val="00927AA3"/>
    <w:rsid w:val="009309AB"/>
    <w:rsid w:val="00931392"/>
    <w:rsid w:val="00936273"/>
    <w:rsid w:val="009406D5"/>
    <w:rsid w:val="00943E4D"/>
    <w:rsid w:val="00953076"/>
    <w:rsid w:val="009632DD"/>
    <w:rsid w:val="00963707"/>
    <w:rsid w:val="009642F1"/>
    <w:rsid w:val="009652B7"/>
    <w:rsid w:val="00971649"/>
    <w:rsid w:val="00976ACC"/>
    <w:rsid w:val="009772CB"/>
    <w:rsid w:val="00980E39"/>
    <w:rsid w:val="00990BD8"/>
    <w:rsid w:val="00991664"/>
    <w:rsid w:val="009954B1"/>
    <w:rsid w:val="00995EDD"/>
    <w:rsid w:val="009A12E2"/>
    <w:rsid w:val="009A1324"/>
    <w:rsid w:val="009A2668"/>
    <w:rsid w:val="009A2834"/>
    <w:rsid w:val="009B5571"/>
    <w:rsid w:val="009C4F37"/>
    <w:rsid w:val="009C5268"/>
    <w:rsid w:val="009C62BB"/>
    <w:rsid w:val="009C66F2"/>
    <w:rsid w:val="009C7381"/>
    <w:rsid w:val="009D1776"/>
    <w:rsid w:val="009D283A"/>
    <w:rsid w:val="009D489A"/>
    <w:rsid w:val="009D5220"/>
    <w:rsid w:val="009E59AA"/>
    <w:rsid w:val="009E70CF"/>
    <w:rsid w:val="009E7E4C"/>
    <w:rsid w:val="009F0DFC"/>
    <w:rsid w:val="009F10CC"/>
    <w:rsid w:val="009F32EA"/>
    <w:rsid w:val="009F5D9A"/>
    <w:rsid w:val="009F6BE6"/>
    <w:rsid w:val="009F6E7B"/>
    <w:rsid w:val="00A00FE9"/>
    <w:rsid w:val="00A06148"/>
    <w:rsid w:val="00A063FC"/>
    <w:rsid w:val="00A109EF"/>
    <w:rsid w:val="00A11929"/>
    <w:rsid w:val="00A140B6"/>
    <w:rsid w:val="00A1411E"/>
    <w:rsid w:val="00A14560"/>
    <w:rsid w:val="00A254DD"/>
    <w:rsid w:val="00A31337"/>
    <w:rsid w:val="00A33D14"/>
    <w:rsid w:val="00A33DA8"/>
    <w:rsid w:val="00A3707D"/>
    <w:rsid w:val="00A37D73"/>
    <w:rsid w:val="00A40B9D"/>
    <w:rsid w:val="00A41E62"/>
    <w:rsid w:val="00A477FF"/>
    <w:rsid w:val="00A47D11"/>
    <w:rsid w:val="00A51A40"/>
    <w:rsid w:val="00A51CA4"/>
    <w:rsid w:val="00A53AC6"/>
    <w:rsid w:val="00A54517"/>
    <w:rsid w:val="00A55CC9"/>
    <w:rsid w:val="00A636F2"/>
    <w:rsid w:val="00A6588C"/>
    <w:rsid w:val="00A66250"/>
    <w:rsid w:val="00A705AD"/>
    <w:rsid w:val="00A743DF"/>
    <w:rsid w:val="00A8594A"/>
    <w:rsid w:val="00A87180"/>
    <w:rsid w:val="00A937E2"/>
    <w:rsid w:val="00A9587A"/>
    <w:rsid w:val="00A9592E"/>
    <w:rsid w:val="00A96FD1"/>
    <w:rsid w:val="00A97CCF"/>
    <w:rsid w:val="00AA5177"/>
    <w:rsid w:val="00AA766B"/>
    <w:rsid w:val="00AB10B9"/>
    <w:rsid w:val="00AB1202"/>
    <w:rsid w:val="00AB2AA7"/>
    <w:rsid w:val="00AB45B5"/>
    <w:rsid w:val="00AB4FE2"/>
    <w:rsid w:val="00AB527F"/>
    <w:rsid w:val="00AB7631"/>
    <w:rsid w:val="00AC28AB"/>
    <w:rsid w:val="00AC3047"/>
    <w:rsid w:val="00AC30C5"/>
    <w:rsid w:val="00AC3CD7"/>
    <w:rsid w:val="00AC3F1A"/>
    <w:rsid w:val="00AC47B4"/>
    <w:rsid w:val="00AC709D"/>
    <w:rsid w:val="00AD09DC"/>
    <w:rsid w:val="00AD129C"/>
    <w:rsid w:val="00AD16DC"/>
    <w:rsid w:val="00AD3DA8"/>
    <w:rsid w:val="00AD4026"/>
    <w:rsid w:val="00AD4749"/>
    <w:rsid w:val="00AE0F02"/>
    <w:rsid w:val="00AE1E2A"/>
    <w:rsid w:val="00AE245D"/>
    <w:rsid w:val="00AE2A2C"/>
    <w:rsid w:val="00AF3049"/>
    <w:rsid w:val="00AF554E"/>
    <w:rsid w:val="00B0524E"/>
    <w:rsid w:val="00B10C7C"/>
    <w:rsid w:val="00B13C2C"/>
    <w:rsid w:val="00B20849"/>
    <w:rsid w:val="00B21E2B"/>
    <w:rsid w:val="00B257D5"/>
    <w:rsid w:val="00B31BDE"/>
    <w:rsid w:val="00B35288"/>
    <w:rsid w:val="00B37316"/>
    <w:rsid w:val="00B42327"/>
    <w:rsid w:val="00B42A97"/>
    <w:rsid w:val="00B4364D"/>
    <w:rsid w:val="00B43FB8"/>
    <w:rsid w:val="00B5286C"/>
    <w:rsid w:val="00B53CE2"/>
    <w:rsid w:val="00B6654B"/>
    <w:rsid w:val="00B677BF"/>
    <w:rsid w:val="00B73CB7"/>
    <w:rsid w:val="00B7718B"/>
    <w:rsid w:val="00B776A3"/>
    <w:rsid w:val="00B812DC"/>
    <w:rsid w:val="00B836C6"/>
    <w:rsid w:val="00B85F5C"/>
    <w:rsid w:val="00B87686"/>
    <w:rsid w:val="00B90823"/>
    <w:rsid w:val="00B90843"/>
    <w:rsid w:val="00B9098E"/>
    <w:rsid w:val="00B96B97"/>
    <w:rsid w:val="00BA1D17"/>
    <w:rsid w:val="00BA54A6"/>
    <w:rsid w:val="00BA7629"/>
    <w:rsid w:val="00BB4C6A"/>
    <w:rsid w:val="00BC15FE"/>
    <w:rsid w:val="00BC1B78"/>
    <w:rsid w:val="00BC1ED8"/>
    <w:rsid w:val="00BC53AC"/>
    <w:rsid w:val="00BC53D9"/>
    <w:rsid w:val="00BD0D23"/>
    <w:rsid w:val="00BD22D5"/>
    <w:rsid w:val="00BD344F"/>
    <w:rsid w:val="00BD5207"/>
    <w:rsid w:val="00BD6E5F"/>
    <w:rsid w:val="00BD7117"/>
    <w:rsid w:val="00BD73C5"/>
    <w:rsid w:val="00BE2497"/>
    <w:rsid w:val="00BE6360"/>
    <w:rsid w:val="00BF0D15"/>
    <w:rsid w:val="00BF368A"/>
    <w:rsid w:val="00BF6DE0"/>
    <w:rsid w:val="00C03C97"/>
    <w:rsid w:val="00C079B0"/>
    <w:rsid w:val="00C1072A"/>
    <w:rsid w:val="00C15814"/>
    <w:rsid w:val="00C208B2"/>
    <w:rsid w:val="00C214C6"/>
    <w:rsid w:val="00C232EE"/>
    <w:rsid w:val="00C238A7"/>
    <w:rsid w:val="00C239BA"/>
    <w:rsid w:val="00C260AF"/>
    <w:rsid w:val="00C308DF"/>
    <w:rsid w:val="00C367BE"/>
    <w:rsid w:val="00C440B4"/>
    <w:rsid w:val="00C505B0"/>
    <w:rsid w:val="00C50968"/>
    <w:rsid w:val="00C51CB9"/>
    <w:rsid w:val="00C51DE1"/>
    <w:rsid w:val="00C546DA"/>
    <w:rsid w:val="00C55804"/>
    <w:rsid w:val="00C558F6"/>
    <w:rsid w:val="00C56B29"/>
    <w:rsid w:val="00C614AE"/>
    <w:rsid w:val="00C619DA"/>
    <w:rsid w:val="00C63ACD"/>
    <w:rsid w:val="00C651C7"/>
    <w:rsid w:val="00C65C26"/>
    <w:rsid w:val="00C70745"/>
    <w:rsid w:val="00C73B0B"/>
    <w:rsid w:val="00C76B10"/>
    <w:rsid w:val="00C76D76"/>
    <w:rsid w:val="00C77074"/>
    <w:rsid w:val="00C779F0"/>
    <w:rsid w:val="00C80391"/>
    <w:rsid w:val="00C80FE1"/>
    <w:rsid w:val="00C83186"/>
    <w:rsid w:val="00C85E28"/>
    <w:rsid w:val="00C868D7"/>
    <w:rsid w:val="00C91EAC"/>
    <w:rsid w:val="00C927D4"/>
    <w:rsid w:val="00C93260"/>
    <w:rsid w:val="00C9452F"/>
    <w:rsid w:val="00CA56DA"/>
    <w:rsid w:val="00CA6915"/>
    <w:rsid w:val="00CA692F"/>
    <w:rsid w:val="00CA6C50"/>
    <w:rsid w:val="00CA6FAE"/>
    <w:rsid w:val="00CA7444"/>
    <w:rsid w:val="00CB09A1"/>
    <w:rsid w:val="00CB3DFA"/>
    <w:rsid w:val="00CB465B"/>
    <w:rsid w:val="00CB5154"/>
    <w:rsid w:val="00CC35F5"/>
    <w:rsid w:val="00CC6E43"/>
    <w:rsid w:val="00CC78F1"/>
    <w:rsid w:val="00CD035D"/>
    <w:rsid w:val="00CD29E8"/>
    <w:rsid w:val="00CD3B7A"/>
    <w:rsid w:val="00CD3D4C"/>
    <w:rsid w:val="00CD5B8B"/>
    <w:rsid w:val="00CD60D1"/>
    <w:rsid w:val="00CE2292"/>
    <w:rsid w:val="00CE2E23"/>
    <w:rsid w:val="00CE2FF4"/>
    <w:rsid w:val="00CE35F6"/>
    <w:rsid w:val="00CE5A1D"/>
    <w:rsid w:val="00CF2104"/>
    <w:rsid w:val="00CF3A47"/>
    <w:rsid w:val="00CF70FB"/>
    <w:rsid w:val="00CF7780"/>
    <w:rsid w:val="00D01E3F"/>
    <w:rsid w:val="00D105A9"/>
    <w:rsid w:val="00D11F26"/>
    <w:rsid w:val="00D12C39"/>
    <w:rsid w:val="00D1400C"/>
    <w:rsid w:val="00D15FB4"/>
    <w:rsid w:val="00D2087E"/>
    <w:rsid w:val="00D27B21"/>
    <w:rsid w:val="00D30A42"/>
    <w:rsid w:val="00D3262C"/>
    <w:rsid w:val="00D327E0"/>
    <w:rsid w:val="00D3297D"/>
    <w:rsid w:val="00D338ED"/>
    <w:rsid w:val="00D35684"/>
    <w:rsid w:val="00D414CD"/>
    <w:rsid w:val="00D43C42"/>
    <w:rsid w:val="00D44CEC"/>
    <w:rsid w:val="00D47A88"/>
    <w:rsid w:val="00D553FE"/>
    <w:rsid w:val="00D55F49"/>
    <w:rsid w:val="00D6355C"/>
    <w:rsid w:val="00D650B6"/>
    <w:rsid w:val="00D66BFF"/>
    <w:rsid w:val="00D74A55"/>
    <w:rsid w:val="00D75C03"/>
    <w:rsid w:val="00D76E0A"/>
    <w:rsid w:val="00D77B1A"/>
    <w:rsid w:val="00D77D9B"/>
    <w:rsid w:val="00D80D13"/>
    <w:rsid w:val="00D84757"/>
    <w:rsid w:val="00D86B2E"/>
    <w:rsid w:val="00D87045"/>
    <w:rsid w:val="00D90603"/>
    <w:rsid w:val="00D90EAA"/>
    <w:rsid w:val="00D9463D"/>
    <w:rsid w:val="00D94838"/>
    <w:rsid w:val="00D94FDC"/>
    <w:rsid w:val="00D97A0F"/>
    <w:rsid w:val="00DA1081"/>
    <w:rsid w:val="00DA1152"/>
    <w:rsid w:val="00DA30B4"/>
    <w:rsid w:val="00DA5819"/>
    <w:rsid w:val="00DB21AB"/>
    <w:rsid w:val="00DB50BF"/>
    <w:rsid w:val="00DB69D9"/>
    <w:rsid w:val="00DC165F"/>
    <w:rsid w:val="00DC16DC"/>
    <w:rsid w:val="00DC3F1B"/>
    <w:rsid w:val="00DC6595"/>
    <w:rsid w:val="00DD06C2"/>
    <w:rsid w:val="00DD5FB7"/>
    <w:rsid w:val="00DD6028"/>
    <w:rsid w:val="00DE08DF"/>
    <w:rsid w:val="00DE4EA0"/>
    <w:rsid w:val="00DE55F2"/>
    <w:rsid w:val="00DE67B9"/>
    <w:rsid w:val="00DE6C2F"/>
    <w:rsid w:val="00DE6F80"/>
    <w:rsid w:val="00DF0818"/>
    <w:rsid w:val="00DF12B2"/>
    <w:rsid w:val="00DF14B9"/>
    <w:rsid w:val="00DF36D2"/>
    <w:rsid w:val="00E00B8A"/>
    <w:rsid w:val="00E00BB8"/>
    <w:rsid w:val="00E00CC5"/>
    <w:rsid w:val="00E035FB"/>
    <w:rsid w:val="00E03A7C"/>
    <w:rsid w:val="00E05F66"/>
    <w:rsid w:val="00E16A22"/>
    <w:rsid w:val="00E20503"/>
    <w:rsid w:val="00E261F9"/>
    <w:rsid w:val="00E26D74"/>
    <w:rsid w:val="00E36F4C"/>
    <w:rsid w:val="00E40700"/>
    <w:rsid w:val="00E5080D"/>
    <w:rsid w:val="00E53967"/>
    <w:rsid w:val="00E56403"/>
    <w:rsid w:val="00E5677B"/>
    <w:rsid w:val="00E57D3D"/>
    <w:rsid w:val="00E66BB7"/>
    <w:rsid w:val="00E67729"/>
    <w:rsid w:val="00E7029B"/>
    <w:rsid w:val="00E70C53"/>
    <w:rsid w:val="00E75953"/>
    <w:rsid w:val="00E76170"/>
    <w:rsid w:val="00E819E4"/>
    <w:rsid w:val="00E8508D"/>
    <w:rsid w:val="00E9082A"/>
    <w:rsid w:val="00E9229B"/>
    <w:rsid w:val="00E92A3D"/>
    <w:rsid w:val="00E9600D"/>
    <w:rsid w:val="00EA4386"/>
    <w:rsid w:val="00EB63F3"/>
    <w:rsid w:val="00EB6672"/>
    <w:rsid w:val="00EC5983"/>
    <w:rsid w:val="00EC7335"/>
    <w:rsid w:val="00ED0833"/>
    <w:rsid w:val="00ED1E5E"/>
    <w:rsid w:val="00ED4E1F"/>
    <w:rsid w:val="00ED65FF"/>
    <w:rsid w:val="00ED6917"/>
    <w:rsid w:val="00EE16E2"/>
    <w:rsid w:val="00EE539B"/>
    <w:rsid w:val="00EE65E1"/>
    <w:rsid w:val="00EF227A"/>
    <w:rsid w:val="00EF3F77"/>
    <w:rsid w:val="00F015F6"/>
    <w:rsid w:val="00F02EDB"/>
    <w:rsid w:val="00F04CEB"/>
    <w:rsid w:val="00F0585F"/>
    <w:rsid w:val="00F10AE5"/>
    <w:rsid w:val="00F1330D"/>
    <w:rsid w:val="00F171EF"/>
    <w:rsid w:val="00F1778A"/>
    <w:rsid w:val="00F2227C"/>
    <w:rsid w:val="00F228D1"/>
    <w:rsid w:val="00F234A8"/>
    <w:rsid w:val="00F23F3E"/>
    <w:rsid w:val="00F2611E"/>
    <w:rsid w:val="00F26591"/>
    <w:rsid w:val="00F3106D"/>
    <w:rsid w:val="00F32259"/>
    <w:rsid w:val="00F3415B"/>
    <w:rsid w:val="00F356F8"/>
    <w:rsid w:val="00F41048"/>
    <w:rsid w:val="00F41B0A"/>
    <w:rsid w:val="00F428B3"/>
    <w:rsid w:val="00F43514"/>
    <w:rsid w:val="00F444CB"/>
    <w:rsid w:val="00F44CC0"/>
    <w:rsid w:val="00F44CEC"/>
    <w:rsid w:val="00F46580"/>
    <w:rsid w:val="00F47A66"/>
    <w:rsid w:val="00F51174"/>
    <w:rsid w:val="00F530F6"/>
    <w:rsid w:val="00F538CE"/>
    <w:rsid w:val="00F56E35"/>
    <w:rsid w:val="00F62151"/>
    <w:rsid w:val="00F64C0F"/>
    <w:rsid w:val="00F64D68"/>
    <w:rsid w:val="00F77561"/>
    <w:rsid w:val="00F85554"/>
    <w:rsid w:val="00F871A3"/>
    <w:rsid w:val="00F87D51"/>
    <w:rsid w:val="00F94886"/>
    <w:rsid w:val="00FA0803"/>
    <w:rsid w:val="00FA62BB"/>
    <w:rsid w:val="00FB7BEF"/>
    <w:rsid w:val="00FC16FE"/>
    <w:rsid w:val="00FC1FC7"/>
    <w:rsid w:val="00FC2FF3"/>
    <w:rsid w:val="00FC404A"/>
    <w:rsid w:val="00FC7D50"/>
    <w:rsid w:val="00FC7E1F"/>
    <w:rsid w:val="00FD08ED"/>
    <w:rsid w:val="00FD17CA"/>
    <w:rsid w:val="00FD4CE9"/>
    <w:rsid w:val="00FD667F"/>
    <w:rsid w:val="00FD72D6"/>
    <w:rsid w:val="00FD7804"/>
    <w:rsid w:val="00FE11BF"/>
    <w:rsid w:val="00FE7096"/>
    <w:rsid w:val="00FF2644"/>
    <w:rsid w:val="00FF2C72"/>
    <w:rsid w:val="00FF422A"/>
    <w:rsid w:val="00FF5143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68AD"/>
  <w15:docId w15:val="{5473067B-3AF3-4FEE-A2F1-1B410D3D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55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A62B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Òàáë òåêñò"/>
    <w:basedOn w:val="a"/>
    <w:link w:val="a4"/>
    <w:rsid w:val="00850558"/>
    <w:pPr>
      <w:jc w:val="both"/>
    </w:pPr>
    <w:rPr>
      <w:szCs w:val="20"/>
    </w:rPr>
  </w:style>
  <w:style w:type="character" w:customStyle="1" w:styleId="a4">
    <w:name w:val="Основной текст Знак"/>
    <w:aliases w:val="Òàáë òåêñò Знак"/>
    <w:basedOn w:val="a0"/>
    <w:link w:val="a3"/>
    <w:rsid w:val="00850558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a5">
    <w:name w:val="Title"/>
    <w:basedOn w:val="a"/>
    <w:link w:val="a6"/>
    <w:uiPriority w:val="99"/>
    <w:qFormat/>
    <w:rsid w:val="00850558"/>
    <w:pPr>
      <w:jc w:val="center"/>
    </w:pPr>
    <w:rPr>
      <w:rFonts w:ascii="Times New Roman" w:hAnsi="Times New Roman"/>
      <w:b/>
      <w:szCs w:val="20"/>
      <w:lang w:val="ru-RU" w:eastAsia="ru-RU" w:bidi="ar-SA"/>
    </w:rPr>
  </w:style>
  <w:style w:type="character" w:customStyle="1" w:styleId="a6">
    <w:name w:val="Заголовок Знак"/>
    <w:basedOn w:val="a0"/>
    <w:link w:val="a5"/>
    <w:uiPriority w:val="99"/>
    <w:rsid w:val="008505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850558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8505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5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405276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B4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65B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Body Text Indent"/>
    <w:basedOn w:val="a"/>
    <w:link w:val="ab"/>
    <w:rsid w:val="00A31337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A31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rsid w:val="00BF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F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A62B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d">
    <w:name w:val="endnote text"/>
    <w:basedOn w:val="a"/>
    <w:link w:val="ae"/>
    <w:rsid w:val="000C1907"/>
    <w:rPr>
      <w:rFonts w:ascii="Times New Roman" w:eastAsia="Calibri" w:hAnsi="Times New Roman"/>
      <w:sz w:val="20"/>
      <w:szCs w:val="20"/>
      <w:lang w:val="ru-RU" w:eastAsia="ru-RU" w:bidi="ar-SA"/>
    </w:rPr>
  </w:style>
  <w:style w:type="character" w:customStyle="1" w:styleId="ae">
    <w:name w:val="Текст концевой сноски Знак"/>
    <w:basedOn w:val="a0"/>
    <w:link w:val="ad"/>
    <w:rsid w:val="000C19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011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0114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1">
    <w:name w:val="footer"/>
    <w:basedOn w:val="a"/>
    <w:link w:val="af2"/>
    <w:uiPriority w:val="99"/>
    <w:semiHidden/>
    <w:unhideWhenUsed/>
    <w:rsid w:val="001011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0114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uiPriority w:val="99"/>
    <w:locked/>
    <w:rsid w:val="004203AF"/>
    <w:rPr>
      <w:rFonts w:ascii="Calibri" w:eastAsia="Times New Roman" w:hAnsi="Calibri" w:cs="Calibri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B35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z.volgograd.ru/about/organizations/list/385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z.volgograd.ru/about/organizations/list/385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B3FB-EBF2-46E9-BFDB-DDB6793F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6527</TotalTime>
  <Pages>6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Елена Евгеньевна</dc:creator>
  <cp:lastModifiedBy>Пузикова Елена Александровна</cp:lastModifiedBy>
  <cp:revision>139</cp:revision>
  <cp:lastPrinted>2021-04-20T10:14:00Z</cp:lastPrinted>
  <dcterms:created xsi:type="dcterms:W3CDTF">2020-03-23T06:35:00Z</dcterms:created>
  <dcterms:modified xsi:type="dcterms:W3CDTF">2021-04-20T10:24:00Z</dcterms:modified>
</cp:coreProperties>
</file>