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71CEB5" w14:textId="4BA794D8" w:rsidR="004D2F03" w:rsidRDefault="004D2F03" w:rsidP="004D2F03">
      <w:pPr>
        <w:ind w:left="12420"/>
        <w:rPr>
          <w:sz w:val="22"/>
        </w:rPr>
      </w:pPr>
      <w:r>
        <w:rPr>
          <w:sz w:val="22"/>
        </w:rPr>
        <w:t xml:space="preserve">Приложение № </w:t>
      </w:r>
      <w:r w:rsidR="003811CF">
        <w:rPr>
          <w:sz w:val="22"/>
        </w:rPr>
        <w:t>5</w:t>
      </w:r>
    </w:p>
    <w:p w14:paraId="2F13BAD7" w14:textId="77777777" w:rsidR="004D2F03" w:rsidRDefault="004D2F03" w:rsidP="004D2F03">
      <w:pPr>
        <w:ind w:left="12420"/>
        <w:rPr>
          <w:sz w:val="22"/>
        </w:rPr>
      </w:pPr>
      <w:r>
        <w:rPr>
          <w:sz w:val="22"/>
        </w:rPr>
        <w:t xml:space="preserve">к отчету о </w:t>
      </w:r>
      <w:r w:rsidR="00F50503">
        <w:rPr>
          <w:sz w:val="22"/>
        </w:rPr>
        <w:t>деятельности</w:t>
      </w:r>
    </w:p>
    <w:p w14:paraId="22F38FB7" w14:textId="77777777" w:rsidR="004D2F03" w:rsidRDefault="004D2F03" w:rsidP="004D2F03">
      <w:pPr>
        <w:ind w:left="12420"/>
        <w:rPr>
          <w:sz w:val="22"/>
        </w:rPr>
      </w:pPr>
      <w:r>
        <w:rPr>
          <w:sz w:val="22"/>
        </w:rPr>
        <w:t>контрольно-счетной</w:t>
      </w:r>
    </w:p>
    <w:p w14:paraId="74DD2F80" w14:textId="77777777" w:rsidR="004D2F03" w:rsidRDefault="004D2F03" w:rsidP="004D2F03">
      <w:pPr>
        <w:ind w:left="12420"/>
        <w:rPr>
          <w:sz w:val="22"/>
        </w:rPr>
      </w:pPr>
      <w:r>
        <w:rPr>
          <w:sz w:val="22"/>
        </w:rPr>
        <w:t>палаты за 20</w:t>
      </w:r>
      <w:r w:rsidR="00605697">
        <w:rPr>
          <w:sz w:val="22"/>
        </w:rPr>
        <w:t>20</w:t>
      </w:r>
      <w:r>
        <w:rPr>
          <w:sz w:val="22"/>
        </w:rPr>
        <w:t xml:space="preserve"> год </w:t>
      </w:r>
    </w:p>
    <w:p w14:paraId="64744167" w14:textId="77777777" w:rsidR="004D2F03" w:rsidRDefault="004D2F03" w:rsidP="004D2F03">
      <w:pPr>
        <w:jc w:val="center"/>
        <w:rPr>
          <w:sz w:val="22"/>
        </w:rPr>
      </w:pPr>
    </w:p>
    <w:p w14:paraId="5AFDE8A7" w14:textId="77777777" w:rsidR="004D2F03" w:rsidRDefault="004D2F03" w:rsidP="004D2F03">
      <w:pPr>
        <w:jc w:val="center"/>
        <w:rPr>
          <w:b/>
          <w:i/>
          <w:sz w:val="22"/>
        </w:rPr>
      </w:pPr>
      <w:r>
        <w:rPr>
          <w:b/>
          <w:i/>
          <w:sz w:val="22"/>
        </w:rPr>
        <w:t>ИНФОРМАЦИЯ</w:t>
      </w:r>
    </w:p>
    <w:p w14:paraId="59D33F82" w14:textId="77777777" w:rsidR="004D2F03" w:rsidRDefault="004D2F03" w:rsidP="004D2F03">
      <w:pPr>
        <w:jc w:val="center"/>
        <w:rPr>
          <w:b/>
          <w:i/>
          <w:sz w:val="22"/>
        </w:rPr>
      </w:pPr>
      <w:r>
        <w:rPr>
          <w:b/>
          <w:i/>
          <w:sz w:val="22"/>
        </w:rPr>
        <w:t xml:space="preserve">о реализации предложений контрольно-счетной палаты по результатам внешней проверки </w:t>
      </w:r>
    </w:p>
    <w:p w14:paraId="18384D33" w14:textId="77777777" w:rsidR="004D2F03" w:rsidRDefault="004D2F03" w:rsidP="004D2F03">
      <w:pPr>
        <w:jc w:val="center"/>
        <w:rPr>
          <w:b/>
          <w:i/>
          <w:sz w:val="22"/>
        </w:rPr>
      </w:pPr>
      <w:r>
        <w:rPr>
          <w:b/>
          <w:i/>
          <w:sz w:val="22"/>
        </w:rPr>
        <w:t>отчета об исполнении бюджета Волгоградской области за 20</w:t>
      </w:r>
      <w:r w:rsidRPr="00C45C8B">
        <w:rPr>
          <w:b/>
          <w:i/>
          <w:sz w:val="22"/>
        </w:rPr>
        <w:t>1</w:t>
      </w:r>
      <w:r w:rsidR="00605697">
        <w:rPr>
          <w:b/>
          <w:i/>
          <w:sz w:val="22"/>
        </w:rPr>
        <w:t>9</w:t>
      </w:r>
      <w:r>
        <w:rPr>
          <w:b/>
          <w:i/>
          <w:sz w:val="22"/>
        </w:rPr>
        <w:t xml:space="preserve"> год</w:t>
      </w:r>
    </w:p>
    <w:p w14:paraId="42F65161" w14:textId="77777777" w:rsidR="004D2F03" w:rsidRPr="006D067B" w:rsidRDefault="004D2F03" w:rsidP="004D2F03">
      <w:pPr>
        <w:jc w:val="center"/>
        <w:rPr>
          <w:sz w:val="28"/>
        </w:rPr>
      </w:pPr>
    </w:p>
    <w:tbl>
      <w:tblPr>
        <w:tblW w:w="15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9639"/>
        <w:gridCol w:w="1418"/>
        <w:gridCol w:w="3364"/>
      </w:tblGrid>
      <w:tr w:rsidR="004D2F03" w:rsidRPr="009962B2" w14:paraId="551BD165" w14:textId="77777777" w:rsidTr="006D067B">
        <w:tc>
          <w:tcPr>
            <w:tcW w:w="817" w:type="dxa"/>
          </w:tcPr>
          <w:p w14:paraId="7E9CC463" w14:textId="77777777" w:rsidR="004D2F03" w:rsidRPr="00465846" w:rsidRDefault="004D2F03" w:rsidP="006D641A">
            <w:pPr>
              <w:jc w:val="center"/>
              <w:rPr>
                <w:b/>
                <w:sz w:val="22"/>
                <w:szCs w:val="22"/>
              </w:rPr>
            </w:pPr>
            <w:r w:rsidRPr="00465846">
              <w:rPr>
                <w:b/>
                <w:sz w:val="22"/>
                <w:szCs w:val="22"/>
              </w:rPr>
              <w:t>№ п/п</w:t>
            </w:r>
          </w:p>
        </w:tc>
        <w:tc>
          <w:tcPr>
            <w:tcW w:w="9639" w:type="dxa"/>
          </w:tcPr>
          <w:p w14:paraId="5F26F51C" w14:textId="77777777" w:rsidR="004D2F03" w:rsidRPr="00465846" w:rsidRDefault="004D2F03" w:rsidP="006D641A">
            <w:pPr>
              <w:jc w:val="center"/>
              <w:rPr>
                <w:b/>
                <w:sz w:val="22"/>
                <w:szCs w:val="22"/>
              </w:rPr>
            </w:pPr>
            <w:r w:rsidRPr="00465846">
              <w:rPr>
                <w:b/>
                <w:sz w:val="22"/>
                <w:szCs w:val="22"/>
              </w:rPr>
              <w:t xml:space="preserve">Содержание предложений, внесенных КСП </w:t>
            </w:r>
          </w:p>
        </w:tc>
        <w:tc>
          <w:tcPr>
            <w:tcW w:w="1418" w:type="dxa"/>
          </w:tcPr>
          <w:p w14:paraId="749629C8" w14:textId="77777777" w:rsidR="004D2F03" w:rsidRPr="00465846" w:rsidRDefault="004D2F03" w:rsidP="006D641A">
            <w:pPr>
              <w:jc w:val="center"/>
              <w:rPr>
                <w:b/>
                <w:sz w:val="22"/>
                <w:szCs w:val="22"/>
              </w:rPr>
            </w:pPr>
            <w:r w:rsidRPr="00465846">
              <w:rPr>
                <w:b/>
                <w:sz w:val="22"/>
                <w:szCs w:val="22"/>
              </w:rPr>
              <w:t xml:space="preserve">Реализация предложений КСП </w:t>
            </w:r>
          </w:p>
        </w:tc>
        <w:tc>
          <w:tcPr>
            <w:tcW w:w="3364" w:type="dxa"/>
          </w:tcPr>
          <w:p w14:paraId="3FCDCC1A" w14:textId="77777777" w:rsidR="004D2F03" w:rsidRPr="00465846" w:rsidRDefault="004D2F03" w:rsidP="006D641A">
            <w:pPr>
              <w:jc w:val="center"/>
              <w:rPr>
                <w:b/>
                <w:sz w:val="22"/>
                <w:szCs w:val="22"/>
              </w:rPr>
            </w:pPr>
            <w:r w:rsidRPr="00465846">
              <w:rPr>
                <w:b/>
                <w:sz w:val="22"/>
                <w:szCs w:val="22"/>
              </w:rPr>
              <w:t>Примечание</w:t>
            </w:r>
          </w:p>
        </w:tc>
      </w:tr>
      <w:tr w:rsidR="004D2F03" w:rsidRPr="00347F96" w14:paraId="65C1049F" w14:textId="77777777" w:rsidTr="00A82D8E">
        <w:trPr>
          <w:cantSplit/>
        </w:trPr>
        <w:tc>
          <w:tcPr>
            <w:tcW w:w="15238" w:type="dxa"/>
            <w:gridSpan w:val="4"/>
          </w:tcPr>
          <w:p w14:paraId="273CE244" w14:textId="77777777" w:rsidR="004D2F03" w:rsidRPr="00A82D8E" w:rsidRDefault="00A05DBF" w:rsidP="00C6114B">
            <w:pPr>
              <w:ind w:left="708"/>
              <w:rPr>
                <w:b/>
                <w:i/>
                <w:sz w:val="22"/>
                <w:szCs w:val="22"/>
              </w:rPr>
            </w:pPr>
            <w:r w:rsidRPr="00A82D8E">
              <w:rPr>
                <w:b/>
                <w:i/>
                <w:sz w:val="22"/>
                <w:szCs w:val="22"/>
              </w:rPr>
              <w:t>Волгоградской областной Думе</w:t>
            </w:r>
            <w:r w:rsidR="00C6114B" w:rsidRPr="00A82D8E">
              <w:rPr>
                <w:b/>
                <w:i/>
                <w:sz w:val="22"/>
                <w:szCs w:val="22"/>
              </w:rPr>
              <w:t>:</w:t>
            </w:r>
            <w:r w:rsidRPr="00A82D8E">
              <w:rPr>
                <w:b/>
                <w:i/>
                <w:sz w:val="22"/>
                <w:szCs w:val="22"/>
              </w:rPr>
              <w:t xml:space="preserve"> </w:t>
            </w:r>
          </w:p>
        </w:tc>
      </w:tr>
      <w:tr w:rsidR="00C6114B" w:rsidRPr="00347F96" w14:paraId="0F4F878C" w14:textId="77777777" w:rsidTr="006D067B">
        <w:tc>
          <w:tcPr>
            <w:tcW w:w="817" w:type="dxa"/>
          </w:tcPr>
          <w:p w14:paraId="38DB3143" w14:textId="77777777" w:rsidR="00C6114B" w:rsidRPr="0028118B" w:rsidRDefault="00E07D74" w:rsidP="002E07A4">
            <w:pPr>
              <w:tabs>
                <w:tab w:val="left" w:pos="259"/>
              </w:tabs>
              <w:jc w:val="center"/>
              <w:rPr>
                <w:sz w:val="22"/>
                <w:szCs w:val="22"/>
              </w:rPr>
            </w:pPr>
            <w:r w:rsidRPr="0028118B">
              <w:rPr>
                <w:sz w:val="22"/>
                <w:szCs w:val="22"/>
              </w:rPr>
              <w:t>1</w:t>
            </w:r>
            <w:r w:rsidR="00C6114B" w:rsidRPr="0028118B">
              <w:rPr>
                <w:sz w:val="22"/>
                <w:szCs w:val="22"/>
              </w:rPr>
              <w:t>.</w:t>
            </w:r>
          </w:p>
        </w:tc>
        <w:tc>
          <w:tcPr>
            <w:tcW w:w="9639" w:type="dxa"/>
          </w:tcPr>
          <w:p w14:paraId="4BFDA796" w14:textId="77777777" w:rsidR="00C6114B" w:rsidRPr="0028118B" w:rsidRDefault="00C6114B" w:rsidP="00336B21">
            <w:pPr>
              <w:jc w:val="both"/>
              <w:rPr>
                <w:b/>
                <w:i/>
                <w:sz w:val="22"/>
                <w:szCs w:val="22"/>
                <w:lang w:eastAsia="en-US"/>
              </w:rPr>
            </w:pPr>
            <w:r w:rsidRPr="0028118B">
              <w:rPr>
                <w:b/>
                <w:i/>
                <w:sz w:val="22"/>
                <w:szCs w:val="22"/>
              </w:rPr>
              <w:t>предложить Губернатору Волгоградской области дать следующие поручения органам исполнительной власти:</w:t>
            </w:r>
          </w:p>
        </w:tc>
        <w:tc>
          <w:tcPr>
            <w:tcW w:w="1418" w:type="dxa"/>
          </w:tcPr>
          <w:p w14:paraId="5D1313EF" w14:textId="77777777" w:rsidR="00C6114B" w:rsidRPr="00605697" w:rsidRDefault="00C6114B" w:rsidP="006D641A">
            <w:pPr>
              <w:jc w:val="center"/>
              <w:rPr>
                <w:color w:val="FF0000"/>
                <w:sz w:val="22"/>
                <w:szCs w:val="22"/>
                <w:highlight w:val="yellow"/>
              </w:rPr>
            </w:pPr>
          </w:p>
        </w:tc>
        <w:tc>
          <w:tcPr>
            <w:tcW w:w="3364" w:type="dxa"/>
          </w:tcPr>
          <w:p w14:paraId="3FF0ADFD" w14:textId="77777777" w:rsidR="00C6114B" w:rsidRPr="00605697" w:rsidRDefault="00C6114B" w:rsidP="006D641A">
            <w:pPr>
              <w:ind w:left="-5"/>
              <w:jc w:val="both"/>
              <w:rPr>
                <w:color w:val="FF0000"/>
                <w:sz w:val="22"/>
                <w:szCs w:val="22"/>
                <w:highlight w:val="yellow"/>
              </w:rPr>
            </w:pPr>
          </w:p>
        </w:tc>
      </w:tr>
      <w:tr w:rsidR="00543568" w:rsidRPr="00347F96" w14:paraId="1F30CFE3" w14:textId="77777777" w:rsidTr="006D067B">
        <w:tc>
          <w:tcPr>
            <w:tcW w:w="817" w:type="dxa"/>
          </w:tcPr>
          <w:p w14:paraId="790FC805" w14:textId="77777777" w:rsidR="00543568" w:rsidRPr="0028118B" w:rsidRDefault="00E07D74" w:rsidP="002E07A4">
            <w:pPr>
              <w:tabs>
                <w:tab w:val="left" w:pos="259"/>
              </w:tabs>
              <w:jc w:val="center"/>
              <w:rPr>
                <w:sz w:val="22"/>
                <w:szCs w:val="22"/>
              </w:rPr>
            </w:pPr>
            <w:r w:rsidRPr="0028118B">
              <w:rPr>
                <w:sz w:val="22"/>
                <w:szCs w:val="22"/>
              </w:rPr>
              <w:t>1</w:t>
            </w:r>
            <w:r w:rsidR="00C6114B" w:rsidRPr="0028118B">
              <w:rPr>
                <w:sz w:val="22"/>
                <w:szCs w:val="22"/>
              </w:rPr>
              <w:t>.</w:t>
            </w:r>
            <w:r w:rsidR="00543568" w:rsidRPr="0028118B">
              <w:rPr>
                <w:sz w:val="22"/>
                <w:szCs w:val="22"/>
              </w:rPr>
              <w:t>1.</w:t>
            </w:r>
          </w:p>
        </w:tc>
        <w:tc>
          <w:tcPr>
            <w:tcW w:w="9639" w:type="dxa"/>
          </w:tcPr>
          <w:p w14:paraId="6D795090" w14:textId="77777777" w:rsidR="00543568" w:rsidRPr="0028118B" w:rsidRDefault="00543568" w:rsidP="00857EA2">
            <w:pPr>
              <w:jc w:val="both"/>
              <w:rPr>
                <w:color w:val="FF0000"/>
                <w:sz w:val="22"/>
                <w:szCs w:val="22"/>
              </w:rPr>
            </w:pPr>
            <w:r w:rsidRPr="0028118B">
              <w:rPr>
                <w:b/>
                <w:i/>
                <w:sz w:val="22"/>
                <w:szCs w:val="22"/>
                <w:lang w:eastAsia="en-US"/>
              </w:rPr>
              <w:t xml:space="preserve">комитету </w:t>
            </w:r>
            <w:r w:rsidR="00857EA2" w:rsidRPr="0028118B">
              <w:rPr>
                <w:b/>
                <w:i/>
                <w:sz w:val="22"/>
                <w:szCs w:val="22"/>
              </w:rPr>
              <w:t>финансов</w:t>
            </w:r>
            <w:r w:rsidRPr="0028118B">
              <w:rPr>
                <w:b/>
                <w:i/>
                <w:sz w:val="22"/>
                <w:szCs w:val="22"/>
              </w:rPr>
              <w:t xml:space="preserve"> Волгоградской области:</w:t>
            </w:r>
          </w:p>
        </w:tc>
        <w:tc>
          <w:tcPr>
            <w:tcW w:w="1418" w:type="dxa"/>
          </w:tcPr>
          <w:p w14:paraId="6214A21E" w14:textId="77777777" w:rsidR="00543568" w:rsidRPr="00605697" w:rsidRDefault="00543568" w:rsidP="006D641A">
            <w:pPr>
              <w:jc w:val="center"/>
              <w:rPr>
                <w:color w:val="FF0000"/>
                <w:sz w:val="22"/>
                <w:szCs w:val="22"/>
                <w:highlight w:val="yellow"/>
              </w:rPr>
            </w:pPr>
          </w:p>
        </w:tc>
        <w:tc>
          <w:tcPr>
            <w:tcW w:w="3364" w:type="dxa"/>
          </w:tcPr>
          <w:p w14:paraId="4C9C31D6" w14:textId="77777777" w:rsidR="00543568" w:rsidRPr="00605697" w:rsidRDefault="00543568" w:rsidP="006D641A">
            <w:pPr>
              <w:ind w:left="-5"/>
              <w:jc w:val="both"/>
              <w:rPr>
                <w:color w:val="FF0000"/>
                <w:sz w:val="22"/>
                <w:szCs w:val="22"/>
                <w:highlight w:val="yellow"/>
              </w:rPr>
            </w:pPr>
          </w:p>
        </w:tc>
      </w:tr>
      <w:tr w:rsidR="004212AE" w:rsidRPr="00347F96" w14:paraId="43858AD9" w14:textId="77777777" w:rsidTr="006D067B">
        <w:tc>
          <w:tcPr>
            <w:tcW w:w="817" w:type="dxa"/>
          </w:tcPr>
          <w:p w14:paraId="2EA3F595" w14:textId="77777777" w:rsidR="004212AE" w:rsidRPr="0028118B" w:rsidRDefault="00E07D74" w:rsidP="002E07A4">
            <w:pPr>
              <w:tabs>
                <w:tab w:val="left" w:pos="259"/>
              </w:tabs>
              <w:jc w:val="center"/>
              <w:rPr>
                <w:sz w:val="22"/>
                <w:szCs w:val="22"/>
              </w:rPr>
            </w:pPr>
            <w:r w:rsidRPr="0028118B">
              <w:rPr>
                <w:sz w:val="22"/>
                <w:szCs w:val="22"/>
              </w:rPr>
              <w:t>1</w:t>
            </w:r>
            <w:r w:rsidR="00C6114B" w:rsidRPr="0028118B">
              <w:rPr>
                <w:sz w:val="22"/>
                <w:szCs w:val="22"/>
              </w:rPr>
              <w:t>.1.1.</w:t>
            </w:r>
          </w:p>
        </w:tc>
        <w:tc>
          <w:tcPr>
            <w:tcW w:w="9639" w:type="dxa"/>
          </w:tcPr>
          <w:p w14:paraId="63111EDB" w14:textId="77777777" w:rsidR="00A6455E" w:rsidRPr="00E07D74" w:rsidRDefault="00E07D74" w:rsidP="00E07D74">
            <w:pPr>
              <w:pStyle w:val="ConsPlusNormal"/>
              <w:ind w:firstLine="705"/>
              <w:jc w:val="both"/>
              <w:rPr>
                <w:rFonts w:ascii="Times New Roman" w:hAnsi="Times New Roman" w:cs="Times New Roman"/>
                <w:sz w:val="22"/>
                <w:szCs w:val="22"/>
              </w:rPr>
            </w:pPr>
            <w:r w:rsidRPr="00E07D74">
              <w:rPr>
                <w:rFonts w:ascii="Times New Roman" w:hAnsi="Times New Roman" w:cs="Times New Roman"/>
                <w:sz w:val="22"/>
                <w:szCs w:val="22"/>
              </w:rPr>
              <w:t xml:space="preserve">-совместно с главными администраторами бюджетных средств провести анализ причин существенного увеличения в 2019 году кредиторской и дебиторской задолженностей областного бюджета с целью снижения их по результатам текущего года, для чего принять меры по полному финансированию плановых расходов 2020 года (в пределах фактически поступивших доходов), поскольку неполное и несвоевременное финансирование в первую очередь влияет на рост кредиторской задолженности, а также приводит к неэффективным бюджетным расходам на оплату экономических санкций. При этом особое внимание следует обратить на причины образования кредиторской задолженности по заработной плате перед работниками государственных бюджетных и автономных учреждений, которые в период проведения мероприятий по недопущению распространения на территории Волгоградской области вируса COVID-19, в том числе из-за возможного отсутствия внебюджетных источников финансирования их деятельности, не должны оказаться в трудной жизненной ситуации. Также указать главным администраторам средств областного бюджета, допустившим в 2019 году наибольший рост дебиторской задолженности, на недопустимость долговременного отвлечения бюджетных средств;   </w:t>
            </w:r>
          </w:p>
        </w:tc>
        <w:tc>
          <w:tcPr>
            <w:tcW w:w="1418" w:type="dxa"/>
          </w:tcPr>
          <w:p w14:paraId="22D9AD93" w14:textId="7951FC9F" w:rsidR="004212AE" w:rsidRPr="00B11CC2" w:rsidRDefault="00B11CC2" w:rsidP="006D641A">
            <w:pPr>
              <w:jc w:val="center"/>
              <w:rPr>
                <w:sz w:val="22"/>
                <w:szCs w:val="22"/>
              </w:rPr>
            </w:pPr>
            <w:r w:rsidRPr="00B11CC2">
              <w:rPr>
                <w:sz w:val="22"/>
                <w:szCs w:val="22"/>
              </w:rPr>
              <w:t>Учтено</w:t>
            </w:r>
          </w:p>
        </w:tc>
        <w:tc>
          <w:tcPr>
            <w:tcW w:w="3364" w:type="dxa"/>
          </w:tcPr>
          <w:p w14:paraId="13E4971A" w14:textId="5563F2D1" w:rsidR="004212AE" w:rsidRPr="00B11CC2" w:rsidRDefault="00B11CC2" w:rsidP="00870BB5">
            <w:pPr>
              <w:jc w:val="both"/>
              <w:rPr>
                <w:sz w:val="22"/>
                <w:szCs w:val="22"/>
              </w:rPr>
            </w:pPr>
            <w:r w:rsidRPr="00B11CC2">
              <w:rPr>
                <w:sz w:val="22"/>
                <w:szCs w:val="22"/>
              </w:rPr>
              <w:t xml:space="preserve">По информации комитета финансов </w:t>
            </w:r>
            <w:r>
              <w:rPr>
                <w:sz w:val="22"/>
                <w:szCs w:val="22"/>
              </w:rPr>
              <w:t>размер кредиторской задолженности на 01.01.2021 сократился на 19,4 процента. Регулярно проводится мониторинг кредиторской задолженности.</w:t>
            </w:r>
          </w:p>
        </w:tc>
      </w:tr>
      <w:tr w:rsidR="00FC600A" w:rsidRPr="00347F96" w14:paraId="0FF3F9E7" w14:textId="77777777" w:rsidTr="006D067B">
        <w:tc>
          <w:tcPr>
            <w:tcW w:w="817" w:type="dxa"/>
          </w:tcPr>
          <w:p w14:paraId="752C8ED4" w14:textId="77777777" w:rsidR="00FC600A" w:rsidRPr="0028118B" w:rsidRDefault="00E07D74" w:rsidP="002E07A4">
            <w:pPr>
              <w:tabs>
                <w:tab w:val="left" w:pos="259"/>
              </w:tabs>
              <w:jc w:val="center"/>
              <w:rPr>
                <w:sz w:val="22"/>
                <w:szCs w:val="22"/>
              </w:rPr>
            </w:pPr>
            <w:r w:rsidRPr="0028118B">
              <w:rPr>
                <w:sz w:val="22"/>
                <w:szCs w:val="22"/>
              </w:rPr>
              <w:t>1</w:t>
            </w:r>
            <w:r w:rsidR="00C6114B" w:rsidRPr="0028118B">
              <w:rPr>
                <w:sz w:val="22"/>
                <w:szCs w:val="22"/>
              </w:rPr>
              <w:t>.</w:t>
            </w:r>
            <w:r w:rsidR="00FC600A" w:rsidRPr="0028118B">
              <w:rPr>
                <w:sz w:val="22"/>
                <w:szCs w:val="22"/>
              </w:rPr>
              <w:t>1.2.</w:t>
            </w:r>
          </w:p>
        </w:tc>
        <w:tc>
          <w:tcPr>
            <w:tcW w:w="9639" w:type="dxa"/>
          </w:tcPr>
          <w:p w14:paraId="49705FB7" w14:textId="77777777" w:rsidR="00FC600A" w:rsidRPr="004A5456" w:rsidRDefault="00E07D74" w:rsidP="004A5456">
            <w:pPr>
              <w:pStyle w:val="ConsPlusNormal"/>
              <w:ind w:firstLine="705"/>
              <w:jc w:val="both"/>
              <w:rPr>
                <w:rFonts w:ascii="Times New Roman" w:hAnsi="Times New Roman" w:cs="Times New Roman"/>
                <w:sz w:val="22"/>
                <w:szCs w:val="22"/>
              </w:rPr>
            </w:pPr>
            <w:r w:rsidRPr="004A5456">
              <w:rPr>
                <w:rFonts w:ascii="Times New Roman" w:hAnsi="Times New Roman" w:cs="Times New Roman"/>
                <w:sz w:val="22"/>
                <w:szCs w:val="22"/>
              </w:rPr>
              <w:t>-в соответствии с требованиями приказа Минфина РФ от 28.08.2019 №131н «О внесении изменений в приказ Минфина РФ от 28.12.2010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разработать, утвердить и довести до главных администраторов средств областного бюджета порядок представления бюджетной отчетности субъектами бюджетной отчетности, в том числе порядок их уведомления о результатах камеральной проверки бюджетной отчетности финансовым органом и о дате ее принятия;</w:t>
            </w:r>
          </w:p>
        </w:tc>
        <w:tc>
          <w:tcPr>
            <w:tcW w:w="1418" w:type="dxa"/>
          </w:tcPr>
          <w:p w14:paraId="7714BD54" w14:textId="462649FB" w:rsidR="00FC600A" w:rsidRPr="00C21117" w:rsidRDefault="00C21117" w:rsidP="006D641A">
            <w:pPr>
              <w:jc w:val="center"/>
              <w:rPr>
                <w:sz w:val="22"/>
                <w:szCs w:val="22"/>
              </w:rPr>
            </w:pPr>
            <w:r w:rsidRPr="00C21117">
              <w:rPr>
                <w:sz w:val="22"/>
                <w:szCs w:val="22"/>
              </w:rPr>
              <w:t>Учтено</w:t>
            </w:r>
          </w:p>
        </w:tc>
        <w:tc>
          <w:tcPr>
            <w:tcW w:w="3364" w:type="dxa"/>
          </w:tcPr>
          <w:p w14:paraId="71B03526" w14:textId="52264587" w:rsidR="00FC600A" w:rsidRPr="00605697" w:rsidRDefault="0045489F" w:rsidP="0082033D">
            <w:pPr>
              <w:ind w:left="-5"/>
              <w:jc w:val="both"/>
              <w:rPr>
                <w:sz w:val="22"/>
                <w:szCs w:val="22"/>
                <w:highlight w:val="yellow"/>
              </w:rPr>
            </w:pPr>
            <w:r w:rsidRPr="0045489F">
              <w:rPr>
                <w:sz w:val="22"/>
                <w:szCs w:val="22"/>
              </w:rPr>
              <w:t xml:space="preserve">Порядок сдачи отчётности </w:t>
            </w:r>
            <w:r w:rsidR="00C21117" w:rsidRPr="0045489F">
              <w:rPr>
                <w:sz w:val="22"/>
                <w:szCs w:val="22"/>
              </w:rPr>
              <w:t xml:space="preserve">ГРБС </w:t>
            </w:r>
            <w:r w:rsidRPr="0045489F">
              <w:rPr>
                <w:sz w:val="22"/>
                <w:szCs w:val="22"/>
              </w:rPr>
              <w:t>за 2020 год, утвержден первым заместителем Губернатора-председателем комитета финансов 13.01.2021</w:t>
            </w:r>
          </w:p>
        </w:tc>
      </w:tr>
      <w:tr w:rsidR="00FC600A" w:rsidRPr="00347F96" w14:paraId="0169287E" w14:textId="77777777" w:rsidTr="006D067B">
        <w:tc>
          <w:tcPr>
            <w:tcW w:w="817" w:type="dxa"/>
          </w:tcPr>
          <w:p w14:paraId="1DC6D994" w14:textId="77777777" w:rsidR="00FC600A" w:rsidRPr="0028118B" w:rsidRDefault="0028118B" w:rsidP="002E07A4">
            <w:pPr>
              <w:tabs>
                <w:tab w:val="left" w:pos="259"/>
              </w:tabs>
              <w:jc w:val="center"/>
              <w:rPr>
                <w:sz w:val="22"/>
                <w:szCs w:val="22"/>
              </w:rPr>
            </w:pPr>
            <w:r w:rsidRPr="0028118B">
              <w:rPr>
                <w:sz w:val="22"/>
                <w:szCs w:val="22"/>
              </w:rPr>
              <w:t>1</w:t>
            </w:r>
            <w:r w:rsidR="00C6114B" w:rsidRPr="0028118B">
              <w:rPr>
                <w:sz w:val="22"/>
                <w:szCs w:val="22"/>
              </w:rPr>
              <w:t>.</w:t>
            </w:r>
            <w:r w:rsidR="00FC600A" w:rsidRPr="0028118B">
              <w:rPr>
                <w:sz w:val="22"/>
                <w:szCs w:val="22"/>
              </w:rPr>
              <w:t>1.3.</w:t>
            </w:r>
          </w:p>
        </w:tc>
        <w:tc>
          <w:tcPr>
            <w:tcW w:w="9639" w:type="dxa"/>
          </w:tcPr>
          <w:p w14:paraId="7095C141" w14:textId="77777777" w:rsidR="00FC600A" w:rsidRPr="004A5456" w:rsidRDefault="00E07D74" w:rsidP="004A5456">
            <w:pPr>
              <w:pStyle w:val="ConsPlusNormal"/>
              <w:ind w:firstLine="705"/>
              <w:jc w:val="both"/>
              <w:rPr>
                <w:rFonts w:ascii="Times New Roman" w:hAnsi="Times New Roman" w:cs="Times New Roman"/>
                <w:sz w:val="22"/>
                <w:szCs w:val="22"/>
              </w:rPr>
            </w:pPr>
            <w:r w:rsidRPr="004A5456">
              <w:rPr>
                <w:rFonts w:ascii="Times New Roman" w:hAnsi="Times New Roman" w:cs="Times New Roman"/>
                <w:sz w:val="22"/>
                <w:szCs w:val="22"/>
              </w:rPr>
              <w:t xml:space="preserve">-в соответствии с пунктом 2.1.31 Положения о комитете финансов Волгоградской области, утвержденного постановлением Губернатора Волгоградской области от 08.04.2014 №309, в целях </w:t>
            </w:r>
            <w:r w:rsidRPr="004A5456">
              <w:rPr>
                <w:rFonts w:ascii="Times New Roman" w:hAnsi="Times New Roman" w:cs="Times New Roman"/>
                <w:sz w:val="22"/>
                <w:szCs w:val="22"/>
              </w:rPr>
              <w:lastRenderedPageBreak/>
              <w:t>устранения несоответствия отдельных норм Положения о формировании государственного задания на оказание государственных услуг (выполнение работ) в отношении государственных учреждений Волгоградской области и финансовом обеспечении выполнения государственного задания, утвержденного постановлением Администрации Волгоградской области от 30.12.2015 №818-п, разработать форму отчетности, позволяющую органам, осуществляющим функции и полномочия учредителя в отношении государственных бюджетных и автономных учреждений, а также главным распорядителям средств областного бюджета, в ведении которых находятся государственные казенные учреждения, при принятии решения о выполнении (невыполнении) государственного задания учитывать достижение установленных значений показателей качества государственных услуг (работ);</w:t>
            </w:r>
          </w:p>
        </w:tc>
        <w:tc>
          <w:tcPr>
            <w:tcW w:w="1418" w:type="dxa"/>
          </w:tcPr>
          <w:p w14:paraId="3C23C72F" w14:textId="5E73015A" w:rsidR="00FC600A" w:rsidRPr="00A41AA4" w:rsidRDefault="003B7359" w:rsidP="006D641A">
            <w:pPr>
              <w:jc w:val="center"/>
              <w:rPr>
                <w:sz w:val="22"/>
                <w:szCs w:val="22"/>
              </w:rPr>
            </w:pPr>
            <w:r w:rsidRPr="00A41AA4">
              <w:rPr>
                <w:sz w:val="22"/>
                <w:szCs w:val="22"/>
              </w:rPr>
              <w:lastRenderedPageBreak/>
              <w:t>Учтено частично</w:t>
            </w:r>
          </w:p>
        </w:tc>
        <w:tc>
          <w:tcPr>
            <w:tcW w:w="3364" w:type="dxa"/>
          </w:tcPr>
          <w:p w14:paraId="439D378E" w14:textId="4C945238" w:rsidR="00FC600A" w:rsidRPr="003B7359" w:rsidRDefault="003B7359" w:rsidP="00165DAF">
            <w:pPr>
              <w:ind w:left="-5"/>
              <w:jc w:val="both"/>
              <w:rPr>
                <w:sz w:val="22"/>
                <w:szCs w:val="22"/>
              </w:rPr>
            </w:pPr>
            <w:r w:rsidRPr="003B7359">
              <w:rPr>
                <w:sz w:val="22"/>
                <w:szCs w:val="22"/>
              </w:rPr>
              <w:t xml:space="preserve">Форма отчета соответствует форме, утвержденной на </w:t>
            </w:r>
            <w:r w:rsidRPr="003B7359">
              <w:rPr>
                <w:sz w:val="22"/>
                <w:szCs w:val="22"/>
              </w:rPr>
              <w:lastRenderedPageBreak/>
              <w:t>федеральном уровне.</w:t>
            </w:r>
          </w:p>
        </w:tc>
      </w:tr>
      <w:tr w:rsidR="003B7359" w:rsidRPr="00347F96" w14:paraId="4C06AF1F" w14:textId="77777777" w:rsidTr="006D067B">
        <w:tc>
          <w:tcPr>
            <w:tcW w:w="817" w:type="dxa"/>
          </w:tcPr>
          <w:p w14:paraId="3A431E73" w14:textId="77777777" w:rsidR="003B7359" w:rsidRPr="0028118B" w:rsidRDefault="003B7359" w:rsidP="003B7359">
            <w:pPr>
              <w:tabs>
                <w:tab w:val="left" w:pos="259"/>
              </w:tabs>
              <w:jc w:val="center"/>
              <w:rPr>
                <w:sz w:val="22"/>
                <w:szCs w:val="22"/>
              </w:rPr>
            </w:pPr>
            <w:r w:rsidRPr="0028118B">
              <w:rPr>
                <w:sz w:val="22"/>
                <w:szCs w:val="22"/>
              </w:rPr>
              <w:lastRenderedPageBreak/>
              <w:t>1.1.4.</w:t>
            </w:r>
          </w:p>
        </w:tc>
        <w:tc>
          <w:tcPr>
            <w:tcW w:w="9639" w:type="dxa"/>
          </w:tcPr>
          <w:p w14:paraId="3BF3EFDB" w14:textId="77777777" w:rsidR="003B7359" w:rsidRPr="0028118B" w:rsidRDefault="003B7359" w:rsidP="003B7359">
            <w:pPr>
              <w:pStyle w:val="ConsPlusNormal"/>
              <w:ind w:firstLine="705"/>
              <w:jc w:val="both"/>
              <w:rPr>
                <w:rFonts w:ascii="Times New Roman" w:hAnsi="Times New Roman" w:cs="Times New Roman"/>
                <w:sz w:val="22"/>
                <w:szCs w:val="22"/>
              </w:rPr>
            </w:pPr>
            <w:r w:rsidRPr="0028118B">
              <w:rPr>
                <w:rFonts w:ascii="Times New Roman" w:hAnsi="Times New Roman" w:cs="Times New Roman"/>
                <w:sz w:val="22"/>
                <w:szCs w:val="22"/>
              </w:rPr>
              <w:t>-учитывая, что централизация функций органов исполнительной власти и казенных учреждений Волгоградской области по ведению бухгалтерского учета и составлению бюджетной отчетности на базе специально созданного в 2015 году ГКУ «Центр бюджетного учета и отчетности» не только экономически не оправдана, но и не характеризуется высоким качеством работы, осуществляемой учреждением, рассмотреть иные варианты и механизмы выполнения указанных функций;</w:t>
            </w:r>
          </w:p>
        </w:tc>
        <w:tc>
          <w:tcPr>
            <w:tcW w:w="1418" w:type="dxa"/>
          </w:tcPr>
          <w:p w14:paraId="18456DD7" w14:textId="7D4181AF" w:rsidR="003B7359" w:rsidRPr="00A41AA4" w:rsidRDefault="003B7359" w:rsidP="003B7359">
            <w:pPr>
              <w:jc w:val="center"/>
              <w:rPr>
                <w:sz w:val="22"/>
                <w:szCs w:val="22"/>
              </w:rPr>
            </w:pPr>
            <w:r w:rsidRPr="00A41AA4">
              <w:rPr>
                <w:sz w:val="22"/>
                <w:szCs w:val="22"/>
              </w:rPr>
              <w:t>Учтено частично</w:t>
            </w:r>
          </w:p>
        </w:tc>
        <w:tc>
          <w:tcPr>
            <w:tcW w:w="3364" w:type="dxa"/>
          </w:tcPr>
          <w:p w14:paraId="3A939D4F" w14:textId="09330C95" w:rsidR="003B7359" w:rsidRPr="00AE1BFE" w:rsidRDefault="00AE1BFE" w:rsidP="003B7359">
            <w:pPr>
              <w:ind w:left="-5"/>
              <w:jc w:val="both"/>
              <w:rPr>
                <w:sz w:val="22"/>
                <w:szCs w:val="22"/>
              </w:rPr>
            </w:pPr>
            <w:r w:rsidRPr="00AE1BFE">
              <w:rPr>
                <w:sz w:val="22"/>
                <w:szCs w:val="22"/>
              </w:rPr>
              <w:t>В целях совершенствования ведения централизованного бюджетного учета принято п</w:t>
            </w:r>
            <w:r w:rsidR="003B7359" w:rsidRPr="00AE1BFE">
              <w:rPr>
                <w:sz w:val="22"/>
                <w:szCs w:val="22"/>
              </w:rPr>
              <w:t>остановлением Администрации Волгоградской области от 25.12.2020 № 827-п «О передаче комитету финансов Волгоградской области отдельных полномочий органов исполнительной власти Волгоградской области и подведомственных им государственных казенных учреждений</w:t>
            </w:r>
            <w:r>
              <w:rPr>
                <w:sz w:val="22"/>
                <w:szCs w:val="22"/>
              </w:rPr>
              <w:t>»</w:t>
            </w:r>
          </w:p>
        </w:tc>
      </w:tr>
      <w:tr w:rsidR="003B7359" w:rsidRPr="00347F96" w14:paraId="17A8F141" w14:textId="77777777" w:rsidTr="006D067B">
        <w:tc>
          <w:tcPr>
            <w:tcW w:w="817" w:type="dxa"/>
          </w:tcPr>
          <w:p w14:paraId="377926C8" w14:textId="77777777" w:rsidR="003B7359" w:rsidRPr="0028118B" w:rsidRDefault="003B7359" w:rsidP="003B7359">
            <w:pPr>
              <w:tabs>
                <w:tab w:val="left" w:pos="259"/>
              </w:tabs>
              <w:jc w:val="center"/>
              <w:rPr>
                <w:sz w:val="22"/>
                <w:szCs w:val="22"/>
              </w:rPr>
            </w:pPr>
            <w:r>
              <w:rPr>
                <w:sz w:val="22"/>
                <w:szCs w:val="22"/>
              </w:rPr>
              <w:t>1.1.5.</w:t>
            </w:r>
          </w:p>
        </w:tc>
        <w:tc>
          <w:tcPr>
            <w:tcW w:w="9639" w:type="dxa"/>
          </w:tcPr>
          <w:p w14:paraId="2D911F1D" w14:textId="1563631B" w:rsidR="003B7359" w:rsidRPr="0028118B" w:rsidRDefault="003B7359" w:rsidP="003B7359">
            <w:pPr>
              <w:pStyle w:val="ConsPlusNormal"/>
              <w:ind w:firstLine="705"/>
              <w:jc w:val="both"/>
              <w:rPr>
                <w:rFonts w:ascii="Times New Roman" w:hAnsi="Times New Roman" w:cs="Times New Roman"/>
                <w:sz w:val="22"/>
                <w:szCs w:val="22"/>
              </w:rPr>
            </w:pPr>
            <w:r w:rsidRPr="00C834DC">
              <w:rPr>
                <w:rFonts w:ascii="Times New Roman" w:hAnsi="Times New Roman" w:cs="Times New Roman"/>
                <w:sz w:val="22"/>
                <w:szCs w:val="22"/>
              </w:rPr>
              <w:t xml:space="preserve">-во избежание фактов представления в Федеральное казначейство недостоверной бюджетной отчетности Волгоградской области за истекший финансовый год повысить качество проводимых камеральных проверок обоснованности и достоверности представляемых главными администраторами средств областного бюджета годовых отчетов, усилить методологическую работу с ними по изменениям, вносимым в нормативные правовые акты, регламентирующие вопросы ведения бухгалтерского учета и составления бюджетной (финансовой) отчетности.  </w:t>
            </w:r>
          </w:p>
        </w:tc>
        <w:tc>
          <w:tcPr>
            <w:tcW w:w="1418" w:type="dxa"/>
          </w:tcPr>
          <w:p w14:paraId="33635E13" w14:textId="4A0634E0" w:rsidR="003B7359" w:rsidRPr="00A41AA4" w:rsidRDefault="003B7359" w:rsidP="003B7359">
            <w:pPr>
              <w:jc w:val="center"/>
              <w:rPr>
                <w:sz w:val="22"/>
                <w:szCs w:val="22"/>
              </w:rPr>
            </w:pPr>
            <w:r w:rsidRPr="00A41AA4">
              <w:rPr>
                <w:sz w:val="22"/>
                <w:szCs w:val="22"/>
              </w:rPr>
              <w:t>Не учтено</w:t>
            </w:r>
          </w:p>
        </w:tc>
        <w:tc>
          <w:tcPr>
            <w:tcW w:w="3364" w:type="dxa"/>
          </w:tcPr>
          <w:p w14:paraId="061CBDC5" w14:textId="77777777" w:rsidR="003B7359" w:rsidRPr="00605697" w:rsidRDefault="003B7359" w:rsidP="003B7359">
            <w:pPr>
              <w:ind w:left="-5"/>
              <w:jc w:val="both"/>
              <w:rPr>
                <w:sz w:val="22"/>
                <w:szCs w:val="22"/>
                <w:highlight w:val="yellow"/>
              </w:rPr>
            </w:pPr>
          </w:p>
        </w:tc>
      </w:tr>
      <w:tr w:rsidR="003B7359" w:rsidRPr="00347F96" w14:paraId="22465B33" w14:textId="77777777" w:rsidTr="006D067B">
        <w:tc>
          <w:tcPr>
            <w:tcW w:w="817" w:type="dxa"/>
          </w:tcPr>
          <w:p w14:paraId="473C176A" w14:textId="77777777" w:rsidR="003B7359" w:rsidRPr="00EB147D" w:rsidRDefault="003B7359" w:rsidP="003B7359">
            <w:pPr>
              <w:tabs>
                <w:tab w:val="left" w:pos="259"/>
              </w:tabs>
              <w:jc w:val="center"/>
              <w:rPr>
                <w:sz w:val="22"/>
                <w:szCs w:val="22"/>
              </w:rPr>
            </w:pPr>
            <w:r w:rsidRPr="00EB147D">
              <w:rPr>
                <w:sz w:val="22"/>
                <w:szCs w:val="22"/>
              </w:rPr>
              <w:t>1.2.</w:t>
            </w:r>
          </w:p>
        </w:tc>
        <w:tc>
          <w:tcPr>
            <w:tcW w:w="9639" w:type="dxa"/>
          </w:tcPr>
          <w:p w14:paraId="675B1E50" w14:textId="77777777" w:rsidR="003B7359" w:rsidRPr="00EB147D" w:rsidRDefault="003B7359" w:rsidP="003B7359">
            <w:pPr>
              <w:jc w:val="both"/>
              <w:rPr>
                <w:color w:val="FF0000"/>
                <w:sz w:val="22"/>
                <w:szCs w:val="22"/>
              </w:rPr>
            </w:pPr>
            <w:r w:rsidRPr="00EB147D">
              <w:rPr>
                <w:b/>
                <w:i/>
                <w:sz w:val="22"/>
                <w:szCs w:val="22"/>
              </w:rPr>
              <w:t>комитету экономической политики и развития  Волгоградской области:</w:t>
            </w:r>
          </w:p>
        </w:tc>
        <w:tc>
          <w:tcPr>
            <w:tcW w:w="1418" w:type="dxa"/>
          </w:tcPr>
          <w:p w14:paraId="2DA6D6FA" w14:textId="77777777" w:rsidR="003B7359" w:rsidRPr="00605697" w:rsidRDefault="003B7359" w:rsidP="003B7359">
            <w:pPr>
              <w:jc w:val="center"/>
              <w:rPr>
                <w:color w:val="FF0000"/>
                <w:sz w:val="22"/>
                <w:szCs w:val="22"/>
                <w:highlight w:val="yellow"/>
              </w:rPr>
            </w:pPr>
          </w:p>
        </w:tc>
        <w:tc>
          <w:tcPr>
            <w:tcW w:w="3364" w:type="dxa"/>
          </w:tcPr>
          <w:p w14:paraId="74920E95" w14:textId="77777777" w:rsidR="003B7359" w:rsidRPr="00605697" w:rsidRDefault="003B7359" w:rsidP="003B7359">
            <w:pPr>
              <w:ind w:left="-5"/>
              <w:jc w:val="both"/>
              <w:rPr>
                <w:color w:val="FF0000"/>
                <w:sz w:val="22"/>
                <w:szCs w:val="22"/>
                <w:highlight w:val="yellow"/>
              </w:rPr>
            </w:pPr>
          </w:p>
        </w:tc>
      </w:tr>
      <w:tr w:rsidR="003B7359" w:rsidRPr="00347F96" w14:paraId="141D4901" w14:textId="77777777" w:rsidTr="006D067B">
        <w:tc>
          <w:tcPr>
            <w:tcW w:w="817" w:type="dxa"/>
          </w:tcPr>
          <w:p w14:paraId="00256AC1" w14:textId="77777777" w:rsidR="003B7359" w:rsidRPr="00EB147D" w:rsidRDefault="003B7359" w:rsidP="003B7359">
            <w:pPr>
              <w:tabs>
                <w:tab w:val="left" w:pos="259"/>
              </w:tabs>
              <w:jc w:val="center"/>
              <w:rPr>
                <w:sz w:val="22"/>
                <w:szCs w:val="22"/>
              </w:rPr>
            </w:pPr>
            <w:r w:rsidRPr="00EB147D">
              <w:rPr>
                <w:sz w:val="22"/>
                <w:szCs w:val="22"/>
              </w:rPr>
              <w:t>1.2.1.</w:t>
            </w:r>
          </w:p>
        </w:tc>
        <w:tc>
          <w:tcPr>
            <w:tcW w:w="9639" w:type="dxa"/>
          </w:tcPr>
          <w:p w14:paraId="367D1C92" w14:textId="77777777" w:rsidR="003B7359" w:rsidRDefault="003B7359" w:rsidP="003B7359">
            <w:pPr>
              <w:pStyle w:val="ConsPlusNormal"/>
              <w:ind w:firstLine="705"/>
              <w:jc w:val="both"/>
              <w:rPr>
                <w:rFonts w:ascii="Times New Roman" w:hAnsi="Times New Roman" w:cs="Times New Roman"/>
                <w:sz w:val="22"/>
                <w:szCs w:val="22"/>
              </w:rPr>
            </w:pPr>
            <w:r w:rsidRPr="00EB147D">
              <w:rPr>
                <w:rFonts w:ascii="Times New Roman" w:hAnsi="Times New Roman" w:cs="Times New Roman"/>
                <w:sz w:val="22"/>
                <w:szCs w:val="22"/>
              </w:rPr>
              <w:t xml:space="preserve">-в целях объективности и корректности оценки эффективности реализации государственных программ Волгоградской области совместно с главными администраторами бюджетных средств – исполнителями госпрограмм рассмотреть вопрос о подходах при определении агрегированного показателя оценки эффективности реализации госпрограммы в условиях невыполнения значительного числа ее целевых показателей, а также об экономическом содержании показателя оценки эффективности, превышающего 100 процентов. По результатам рассмотрения внести необходимые изменения (уточнения) в методику определения эффективности реализации госпрограмм, утвержденную в составе Порядка разработки, реализации и оценки эффективности реализации государственных программ Волгоградской области, утвержденного </w:t>
            </w:r>
            <w:r w:rsidRPr="00EB147D">
              <w:rPr>
                <w:rFonts w:ascii="Times New Roman" w:hAnsi="Times New Roman" w:cs="Times New Roman"/>
                <w:sz w:val="22"/>
                <w:szCs w:val="22"/>
              </w:rPr>
              <w:lastRenderedPageBreak/>
              <w:t xml:space="preserve">постановлением  Администрации Волгоградской области от 27.08.2013 №423-п. </w:t>
            </w:r>
          </w:p>
          <w:p w14:paraId="78BDD831" w14:textId="77777777" w:rsidR="003B7359" w:rsidRPr="00EB147D" w:rsidRDefault="003B7359" w:rsidP="003B7359">
            <w:pPr>
              <w:pStyle w:val="ConsPlusNormal"/>
              <w:ind w:firstLine="0"/>
              <w:jc w:val="both"/>
              <w:rPr>
                <w:rFonts w:ascii="Times New Roman" w:hAnsi="Times New Roman" w:cs="Times New Roman"/>
                <w:sz w:val="22"/>
                <w:szCs w:val="22"/>
              </w:rPr>
            </w:pPr>
          </w:p>
        </w:tc>
        <w:tc>
          <w:tcPr>
            <w:tcW w:w="1418" w:type="dxa"/>
          </w:tcPr>
          <w:p w14:paraId="261BBF25" w14:textId="4CC1F112" w:rsidR="003B7359" w:rsidRPr="00A41AA4" w:rsidRDefault="003B7359" w:rsidP="003B7359">
            <w:pPr>
              <w:jc w:val="center"/>
              <w:rPr>
                <w:sz w:val="22"/>
                <w:szCs w:val="22"/>
              </w:rPr>
            </w:pPr>
            <w:r w:rsidRPr="00A41AA4">
              <w:rPr>
                <w:sz w:val="22"/>
                <w:szCs w:val="22"/>
              </w:rPr>
              <w:lastRenderedPageBreak/>
              <w:t>Не учтено</w:t>
            </w:r>
          </w:p>
        </w:tc>
        <w:tc>
          <w:tcPr>
            <w:tcW w:w="3364" w:type="dxa"/>
          </w:tcPr>
          <w:p w14:paraId="1180C549" w14:textId="77777777" w:rsidR="003B7359" w:rsidRPr="00605697" w:rsidRDefault="003B7359" w:rsidP="003B7359">
            <w:pPr>
              <w:ind w:left="-5"/>
              <w:jc w:val="both"/>
              <w:rPr>
                <w:color w:val="FF0000"/>
                <w:sz w:val="22"/>
                <w:szCs w:val="22"/>
                <w:highlight w:val="yellow"/>
              </w:rPr>
            </w:pPr>
          </w:p>
        </w:tc>
      </w:tr>
      <w:tr w:rsidR="003B7359" w:rsidRPr="00347F96" w14:paraId="364B1119" w14:textId="77777777" w:rsidTr="006D067B">
        <w:tc>
          <w:tcPr>
            <w:tcW w:w="817" w:type="dxa"/>
          </w:tcPr>
          <w:p w14:paraId="428669C7" w14:textId="77777777" w:rsidR="003B7359" w:rsidRPr="00EB147D" w:rsidRDefault="003B7359" w:rsidP="003B7359">
            <w:pPr>
              <w:tabs>
                <w:tab w:val="left" w:pos="259"/>
              </w:tabs>
              <w:jc w:val="center"/>
              <w:rPr>
                <w:sz w:val="22"/>
                <w:szCs w:val="22"/>
              </w:rPr>
            </w:pPr>
            <w:r w:rsidRPr="00EB147D">
              <w:rPr>
                <w:sz w:val="22"/>
                <w:szCs w:val="22"/>
              </w:rPr>
              <w:t>1.3.</w:t>
            </w:r>
          </w:p>
        </w:tc>
        <w:tc>
          <w:tcPr>
            <w:tcW w:w="9639" w:type="dxa"/>
          </w:tcPr>
          <w:p w14:paraId="3994DCE5" w14:textId="77777777" w:rsidR="003B7359" w:rsidRPr="00EB147D" w:rsidRDefault="003B7359" w:rsidP="003B7359">
            <w:pPr>
              <w:jc w:val="both"/>
              <w:rPr>
                <w:color w:val="FF0000"/>
                <w:sz w:val="22"/>
                <w:szCs w:val="22"/>
              </w:rPr>
            </w:pPr>
            <w:r w:rsidRPr="00EB147D">
              <w:rPr>
                <w:b/>
                <w:i/>
                <w:sz w:val="22"/>
                <w:szCs w:val="22"/>
                <w:lang w:eastAsia="en-US"/>
              </w:rPr>
              <w:t>органам исполнительной власти Волгоградской области:</w:t>
            </w:r>
          </w:p>
        </w:tc>
        <w:tc>
          <w:tcPr>
            <w:tcW w:w="1418" w:type="dxa"/>
          </w:tcPr>
          <w:p w14:paraId="1EEB22B9" w14:textId="77777777" w:rsidR="003B7359" w:rsidRPr="00605697" w:rsidRDefault="003B7359" w:rsidP="003B7359">
            <w:pPr>
              <w:jc w:val="center"/>
              <w:rPr>
                <w:color w:val="FF0000"/>
                <w:sz w:val="22"/>
                <w:szCs w:val="22"/>
                <w:highlight w:val="yellow"/>
              </w:rPr>
            </w:pPr>
          </w:p>
        </w:tc>
        <w:tc>
          <w:tcPr>
            <w:tcW w:w="3364" w:type="dxa"/>
          </w:tcPr>
          <w:p w14:paraId="3D9FCB67" w14:textId="77777777" w:rsidR="003B7359" w:rsidRPr="00605697" w:rsidRDefault="003B7359" w:rsidP="003B7359">
            <w:pPr>
              <w:ind w:left="-5"/>
              <w:jc w:val="both"/>
              <w:rPr>
                <w:color w:val="FF0000"/>
                <w:sz w:val="22"/>
                <w:szCs w:val="22"/>
                <w:highlight w:val="yellow"/>
              </w:rPr>
            </w:pPr>
          </w:p>
        </w:tc>
      </w:tr>
      <w:tr w:rsidR="003B7359" w:rsidRPr="00347F96" w14:paraId="6728531B" w14:textId="77777777" w:rsidTr="006D067B">
        <w:tc>
          <w:tcPr>
            <w:tcW w:w="817" w:type="dxa"/>
          </w:tcPr>
          <w:p w14:paraId="78DBCE63" w14:textId="77777777" w:rsidR="003B7359" w:rsidRPr="00EB147D" w:rsidRDefault="003B7359" w:rsidP="003B7359">
            <w:pPr>
              <w:tabs>
                <w:tab w:val="left" w:pos="259"/>
              </w:tabs>
              <w:jc w:val="center"/>
              <w:rPr>
                <w:sz w:val="22"/>
                <w:szCs w:val="22"/>
              </w:rPr>
            </w:pPr>
            <w:r w:rsidRPr="00EB147D">
              <w:rPr>
                <w:sz w:val="22"/>
                <w:szCs w:val="22"/>
              </w:rPr>
              <w:t>1.3.1.</w:t>
            </w:r>
          </w:p>
        </w:tc>
        <w:tc>
          <w:tcPr>
            <w:tcW w:w="9639" w:type="dxa"/>
          </w:tcPr>
          <w:p w14:paraId="238991CB" w14:textId="77777777" w:rsidR="003B7359" w:rsidRPr="00EB147D" w:rsidRDefault="003B7359" w:rsidP="003B7359">
            <w:pPr>
              <w:pStyle w:val="ConsPlusNormal"/>
              <w:ind w:firstLine="705"/>
              <w:jc w:val="both"/>
              <w:rPr>
                <w:rFonts w:ascii="Times New Roman" w:hAnsi="Times New Roman" w:cs="Times New Roman"/>
                <w:sz w:val="22"/>
                <w:szCs w:val="22"/>
              </w:rPr>
            </w:pPr>
            <w:r w:rsidRPr="00EB147D">
              <w:rPr>
                <w:rFonts w:ascii="Times New Roman" w:hAnsi="Times New Roman" w:cs="Times New Roman"/>
                <w:sz w:val="22"/>
                <w:szCs w:val="22"/>
              </w:rPr>
              <w:t>-в связи с проведением в 2020 году мероприятий по совершенствованию государственного управления Волгоградской области, в ходе которых часть функций, выполняемых органами исполнительной власти, передается в специально созданные либо уже существующие государственные учреждения, провести расчеты, обосновывающие экономическую целесообразность планируемой реорганизации. Учитывая остроту вопроса по реальному сокращению расходов областного бюджета в создавшейся в текущем году ситуации, проведенные расчеты представить в рабочую группу, созданную в 2019 году для подготовки предложений Губернатору Волгоградской области по оптимизации расходов на государственное управление;</w:t>
            </w:r>
          </w:p>
        </w:tc>
        <w:tc>
          <w:tcPr>
            <w:tcW w:w="1418" w:type="dxa"/>
          </w:tcPr>
          <w:p w14:paraId="6FAAECE3" w14:textId="0B7F17D6" w:rsidR="003B7359" w:rsidRPr="00AE1BFE" w:rsidRDefault="00AE1BFE" w:rsidP="003B7359">
            <w:pPr>
              <w:jc w:val="center"/>
              <w:rPr>
                <w:sz w:val="22"/>
                <w:szCs w:val="22"/>
              </w:rPr>
            </w:pPr>
            <w:r w:rsidRPr="00AE1BFE">
              <w:rPr>
                <w:sz w:val="22"/>
                <w:szCs w:val="22"/>
              </w:rPr>
              <w:t>Учтено частично</w:t>
            </w:r>
          </w:p>
        </w:tc>
        <w:tc>
          <w:tcPr>
            <w:tcW w:w="3364" w:type="dxa"/>
          </w:tcPr>
          <w:p w14:paraId="0B4EBFFF" w14:textId="5DDA195A" w:rsidR="003B7359" w:rsidRPr="00AE1BFE" w:rsidRDefault="00AE1BFE" w:rsidP="003B7359">
            <w:pPr>
              <w:ind w:left="-5"/>
              <w:jc w:val="both"/>
              <w:rPr>
                <w:sz w:val="22"/>
                <w:szCs w:val="22"/>
              </w:rPr>
            </w:pPr>
            <w:r w:rsidRPr="00AE1BFE">
              <w:rPr>
                <w:sz w:val="22"/>
                <w:szCs w:val="22"/>
              </w:rPr>
              <w:t>В период после 25.05.2020 мероприятия по передаче функций органов исполнительной власти в специально созданные учреждения не проводились</w:t>
            </w:r>
          </w:p>
        </w:tc>
      </w:tr>
      <w:tr w:rsidR="003B7359" w:rsidRPr="00347F96" w14:paraId="5CF78D5E" w14:textId="77777777" w:rsidTr="006D067B">
        <w:tc>
          <w:tcPr>
            <w:tcW w:w="817" w:type="dxa"/>
          </w:tcPr>
          <w:p w14:paraId="110918DD" w14:textId="77777777" w:rsidR="003B7359" w:rsidRPr="00EB147D" w:rsidRDefault="003B7359" w:rsidP="003B7359">
            <w:pPr>
              <w:tabs>
                <w:tab w:val="left" w:pos="259"/>
              </w:tabs>
              <w:jc w:val="center"/>
              <w:rPr>
                <w:sz w:val="22"/>
                <w:szCs w:val="22"/>
              </w:rPr>
            </w:pPr>
            <w:r w:rsidRPr="00EB147D">
              <w:rPr>
                <w:sz w:val="22"/>
                <w:szCs w:val="22"/>
              </w:rPr>
              <w:t>1.3.2.</w:t>
            </w:r>
          </w:p>
        </w:tc>
        <w:tc>
          <w:tcPr>
            <w:tcW w:w="9639" w:type="dxa"/>
          </w:tcPr>
          <w:p w14:paraId="250B98E6" w14:textId="77777777" w:rsidR="003B7359" w:rsidRPr="00EB147D" w:rsidRDefault="003B7359" w:rsidP="003B7359">
            <w:pPr>
              <w:pStyle w:val="ConsPlusNormal"/>
              <w:ind w:firstLine="705"/>
              <w:jc w:val="both"/>
              <w:rPr>
                <w:rFonts w:ascii="Times New Roman" w:hAnsi="Times New Roman" w:cs="Times New Roman"/>
                <w:sz w:val="22"/>
                <w:szCs w:val="22"/>
              </w:rPr>
            </w:pPr>
            <w:r w:rsidRPr="00EB147D">
              <w:rPr>
                <w:rFonts w:ascii="Times New Roman" w:hAnsi="Times New Roman" w:cs="Times New Roman"/>
                <w:sz w:val="22"/>
                <w:szCs w:val="22"/>
              </w:rPr>
              <w:t xml:space="preserve">-во избежание возврата в федеральный бюджет части целевых субсидий в виде экономических санкций за невыполнение показателей результативности и нарушение графиков проведения строительных работ на объектах, </w:t>
            </w:r>
            <w:proofErr w:type="spellStart"/>
            <w:r w:rsidRPr="00EB147D">
              <w:rPr>
                <w:rFonts w:ascii="Times New Roman" w:hAnsi="Times New Roman" w:cs="Times New Roman"/>
                <w:sz w:val="22"/>
                <w:szCs w:val="22"/>
              </w:rPr>
              <w:t>софинансируемых</w:t>
            </w:r>
            <w:proofErr w:type="spellEnd"/>
            <w:r w:rsidRPr="00EB147D">
              <w:rPr>
                <w:rFonts w:ascii="Times New Roman" w:hAnsi="Times New Roman" w:cs="Times New Roman"/>
                <w:sz w:val="22"/>
                <w:szCs w:val="22"/>
              </w:rPr>
              <w:t xml:space="preserve"> за счет субсидий из федерального бюджета в рамках реализации национальных (региональных) проектов, усилить контроль за своевременностью прохождения контрольных точек, в каждом конкретном случае проводить анализ причин невыполнения показателей и нарушения графиков проведения работ, по результатам которого устанавливать и привлекать к ответственности виновных лиц, минимизировать перечисляемые подрядчикам авансы, предусматривая это при заключении госконтрактов, и т. д.;</w:t>
            </w:r>
          </w:p>
        </w:tc>
        <w:tc>
          <w:tcPr>
            <w:tcW w:w="1418" w:type="dxa"/>
          </w:tcPr>
          <w:p w14:paraId="48F57563" w14:textId="38CBBB81" w:rsidR="003B7359" w:rsidRPr="00A41AA4" w:rsidRDefault="00AE1BFE" w:rsidP="003B7359">
            <w:pPr>
              <w:jc w:val="center"/>
              <w:rPr>
                <w:sz w:val="22"/>
                <w:szCs w:val="22"/>
              </w:rPr>
            </w:pPr>
            <w:r w:rsidRPr="00A41AA4">
              <w:rPr>
                <w:sz w:val="22"/>
                <w:szCs w:val="22"/>
              </w:rPr>
              <w:t>Учтено частично</w:t>
            </w:r>
          </w:p>
        </w:tc>
        <w:tc>
          <w:tcPr>
            <w:tcW w:w="3364" w:type="dxa"/>
          </w:tcPr>
          <w:p w14:paraId="0BA53BE6" w14:textId="7452BC98" w:rsidR="003B7359" w:rsidRPr="00AE1BFE" w:rsidRDefault="00AE1BFE" w:rsidP="003B7359">
            <w:pPr>
              <w:ind w:left="-5"/>
              <w:jc w:val="both"/>
              <w:rPr>
                <w:sz w:val="22"/>
                <w:szCs w:val="22"/>
              </w:rPr>
            </w:pPr>
            <w:r w:rsidRPr="00AE1BFE">
              <w:rPr>
                <w:sz w:val="22"/>
                <w:szCs w:val="22"/>
              </w:rPr>
              <w:t xml:space="preserve">В 2020 году по информации комитета </w:t>
            </w:r>
            <w:proofErr w:type="gramStart"/>
            <w:r w:rsidRPr="00AE1BFE">
              <w:rPr>
                <w:sz w:val="22"/>
                <w:szCs w:val="22"/>
              </w:rPr>
              <w:t>финансов  не</w:t>
            </w:r>
            <w:proofErr w:type="gramEnd"/>
            <w:r w:rsidRPr="00AE1BFE">
              <w:rPr>
                <w:sz w:val="22"/>
                <w:szCs w:val="22"/>
              </w:rPr>
              <w:t xml:space="preserve"> установлено нарушений, связанных с использованием межбюджетных трансфертов из федерального бюджета</w:t>
            </w:r>
          </w:p>
        </w:tc>
      </w:tr>
      <w:tr w:rsidR="00C52BD1" w:rsidRPr="00347F96" w14:paraId="31A14339" w14:textId="77777777" w:rsidTr="006D067B">
        <w:tc>
          <w:tcPr>
            <w:tcW w:w="817" w:type="dxa"/>
          </w:tcPr>
          <w:p w14:paraId="1FF72C70" w14:textId="77777777" w:rsidR="00C52BD1" w:rsidRPr="00EB147D" w:rsidRDefault="00C52BD1" w:rsidP="00C52BD1">
            <w:pPr>
              <w:tabs>
                <w:tab w:val="left" w:pos="259"/>
              </w:tabs>
              <w:jc w:val="center"/>
              <w:rPr>
                <w:sz w:val="22"/>
                <w:szCs w:val="22"/>
              </w:rPr>
            </w:pPr>
            <w:r w:rsidRPr="00EB147D">
              <w:rPr>
                <w:sz w:val="22"/>
                <w:szCs w:val="22"/>
              </w:rPr>
              <w:t>1.3.3.</w:t>
            </w:r>
          </w:p>
        </w:tc>
        <w:tc>
          <w:tcPr>
            <w:tcW w:w="9639" w:type="dxa"/>
          </w:tcPr>
          <w:p w14:paraId="68707DA2" w14:textId="77777777" w:rsidR="00C52BD1" w:rsidRPr="00EB147D" w:rsidRDefault="00C52BD1" w:rsidP="00C52BD1">
            <w:pPr>
              <w:pStyle w:val="ConsPlusNormal"/>
              <w:ind w:firstLine="705"/>
              <w:jc w:val="both"/>
              <w:rPr>
                <w:rFonts w:ascii="Times New Roman" w:hAnsi="Times New Roman" w:cs="Times New Roman"/>
                <w:sz w:val="22"/>
                <w:szCs w:val="22"/>
              </w:rPr>
            </w:pPr>
            <w:r w:rsidRPr="00EB147D">
              <w:rPr>
                <w:rFonts w:ascii="Times New Roman" w:hAnsi="Times New Roman" w:cs="Times New Roman"/>
                <w:sz w:val="22"/>
                <w:szCs w:val="22"/>
              </w:rPr>
              <w:t xml:space="preserve">-учитывая значительное количество нарушений, установленных палатой при проведении внешних проверок бюджетной отчетности главных администраторов бюджетных средств за 2019 год, в целях недопущения представления недостоверных отчетных данных об исполнении областного бюджета в комитет финансов Волгоградской области, приводящего к недостоверности консолидированной бюджетной отчетности, повысить качество внутреннего финансового аудита. Рассмотреть вопрос об ответственности лиц, уполномоченных на проведение внутреннего финансового аудита, за некачественно проведенные проверки, при необходимости укрепить кадровый состав подразделений внутреннего финансового аудита.   </w:t>
            </w:r>
          </w:p>
        </w:tc>
        <w:tc>
          <w:tcPr>
            <w:tcW w:w="1418" w:type="dxa"/>
          </w:tcPr>
          <w:p w14:paraId="3E908B7D" w14:textId="45EE3CD6" w:rsidR="00C52BD1" w:rsidRPr="00A41AA4" w:rsidRDefault="00C52BD1" w:rsidP="00C52BD1">
            <w:pPr>
              <w:jc w:val="center"/>
              <w:rPr>
                <w:sz w:val="22"/>
                <w:szCs w:val="22"/>
              </w:rPr>
            </w:pPr>
            <w:r w:rsidRPr="00A41AA4">
              <w:rPr>
                <w:sz w:val="22"/>
                <w:szCs w:val="22"/>
              </w:rPr>
              <w:t>Учтено частично</w:t>
            </w:r>
          </w:p>
        </w:tc>
        <w:tc>
          <w:tcPr>
            <w:tcW w:w="3364" w:type="dxa"/>
          </w:tcPr>
          <w:p w14:paraId="4A4419DE" w14:textId="3D0F9E1E" w:rsidR="00C52BD1" w:rsidRPr="004E30BC" w:rsidRDefault="004E30BC" w:rsidP="00C52BD1">
            <w:pPr>
              <w:ind w:left="-5"/>
              <w:jc w:val="both"/>
              <w:rPr>
                <w:sz w:val="22"/>
                <w:szCs w:val="22"/>
              </w:rPr>
            </w:pPr>
            <w:r w:rsidRPr="004E30BC">
              <w:rPr>
                <w:sz w:val="22"/>
                <w:szCs w:val="22"/>
              </w:rPr>
              <w:t xml:space="preserve">С 01.01.2020 вступили в силу Федеральные стандарты внутреннего финансового аудита. По результатам проверок КСП привлечено к дисциплинарной ответственности 7 должностных лиц, </w:t>
            </w:r>
            <w:r>
              <w:rPr>
                <w:sz w:val="22"/>
                <w:szCs w:val="22"/>
              </w:rPr>
              <w:t xml:space="preserve">в одном учреждении принято решение о смене </w:t>
            </w:r>
            <w:r w:rsidRPr="004E30BC">
              <w:rPr>
                <w:sz w:val="22"/>
                <w:szCs w:val="22"/>
              </w:rPr>
              <w:t>главн</w:t>
            </w:r>
            <w:r>
              <w:rPr>
                <w:sz w:val="22"/>
                <w:szCs w:val="22"/>
              </w:rPr>
              <w:t>ого</w:t>
            </w:r>
            <w:r w:rsidRPr="004E30BC">
              <w:rPr>
                <w:sz w:val="22"/>
                <w:szCs w:val="22"/>
              </w:rPr>
              <w:t xml:space="preserve"> бухгалтер</w:t>
            </w:r>
            <w:r>
              <w:rPr>
                <w:sz w:val="22"/>
                <w:szCs w:val="22"/>
              </w:rPr>
              <w:t>а</w:t>
            </w:r>
            <w:r w:rsidRPr="004E30BC">
              <w:rPr>
                <w:sz w:val="22"/>
                <w:szCs w:val="22"/>
              </w:rPr>
              <w:t>.</w:t>
            </w:r>
          </w:p>
        </w:tc>
      </w:tr>
      <w:tr w:rsidR="00C52BD1" w:rsidRPr="009962B2" w14:paraId="51414E14" w14:textId="77777777" w:rsidTr="006D067B">
        <w:tc>
          <w:tcPr>
            <w:tcW w:w="817" w:type="dxa"/>
          </w:tcPr>
          <w:p w14:paraId="129CB8ED" w14:textId="77777777" w:rsidR="00C52BD1" w:rsidRPr="00A82D8E" w:rsidRDefault="00C52BD1" w:rsidP="00C52BD1">
            <w:pPr>
              <w:jc w:val="center"/>
              <w:rPr>
                <w:sz w:val="22"/>
                <w:szCs w:val="22"/>
              </w:rPr>
            </w:pPr>
          </w:p>
        </w:tc>
        <w:tc>
          <w:tcPr>
            <w:tcW w:w="9639" w:type="dxa"/>
          </w:tcPr>
          <w:p w14:paraId="216F200F" w14:textId="77777777" w:rsidR="00C52BD1" w:rsidRPr="00A82D8E" w:rsidRDefault="00C52BD1" w:rsidP="00C52BD1">
            <w:pPr>
              <w:ind w:firstLine="45"/>
              <w:jc w:val="both"/>
              <w:rPr>
                <w:b/>
                <w:sz w:val="22"/>
                <w:szCs w:val="22"/>
              </w:rPr>
            </w:pPr>
            <w:r w:rsidRPr="00A82D8E">
              <w:rPr>
                <w:b/>
                <w:sz w:val="22"/>
                <w:szCs w:val="22"/>
              </w:rPr>
              <w:t>ИТОГО:</w:t>
            </w:r>
          </w:p>
        </w:tc>
        <w:tc>
          <w:tcPr>
            <w:tcW w:w="1418" w:type="dxa"/>
          </w:tcPr>
          <w:p w14:paraId="3F2DAF9F" w14:textId="77777777" w:rsidR="00C52BD1" w:rsidRPr="00605697" w:rsidRDefault="00C52BD1" w:rsidP="00C52BD1">
            <w:pPr>
              <w:jc w:val="center"/>
              <w:rPr>
                <w:b/>
                <w:i/>
                <w:sz w:val="22"/>
                <w:szCs w:val="22"/>
                <w:highlight w:val="yellow"/>
              </w:rPr>
            </w:pPr>
            <w:r w:rsidRPr="00F55ECF">
              <w:rPr>
                <w:b/>
                <w:i/>
                <w:sz w:val="22"/>
                <w:szCs w:val="22"/>
              </w:rPr>
              <w:t>9</w:t>
            </w:r>
          </w:p>
        </w:tc>
        <w:tc>
          <w:tcPr>
            <w:tcW w:w="3364" w:type="dxa"/>
          </w:tcPr>
          <w:p w14:paraId="56B74E3D" w14:textId="77777777" w:rsidR="00C52BD1" w:rsidRPr="00A82D8E" w:rsidRDefault="00C52BD1" w:rsidP="00C52BD1">
            <w:pPr>
              <w:jc w:val="both"/>
              <w:rPr>
                <w:sz w:val="22"/>
                <w:szCs w:val="22"/>
                <w:highlight w:val="yellow"/>
              </w:rPr>
            </w:pPr>
          </w:p>
        </w:tc>
      </w:tr>
      <w:tr w:rsidR="004E30BC" w:rsidRPr="00FB47B9" w14:paraId="50F81EE6" w14:textId="77777777" w:rsidTr="006D067B">
        <w:tc>
          <w:tcPr>
            <w:tcW w:w="817" w:type="dxa"/>
          </w:tcPr>
          <w:p w14:paraId="515D3FE3" w14:textId="77777777" w:rsidR="004E30BC" w:rsidRPr="00A82D8E" w:rsidRDefault="004E30BC" w:rsidP="004E30BC">
            <w:pPr>
              <w:jc w:val="center"/>
              <w:rPr>
                <w:sz w:val="22"/>
                <w:szCs w:val="22"/>
              </w:rPr>
            </w:pPr>
          </w:p>
        </w:tc>
        <w:tc>
          <w:tcPr>
            <w:tcW w:w="9639" w:type="dxa"/>
          </w:tcPr>
          <w:p w14:paraId="0168D384" w14:textId="4B2C657C" w:rsidR="004E30BC" w:rsidRPr="00A82D8E" w:rsidRDefault="004E30BC" w:rsidP="004E30BC">
            <w:pPr>
              <w:autoSpaceDE w:val="0"/>
              <w:autoSpaceDN w:val="0"/>
              <w:adjustRightInd w:val="0"/>
              <w:ind w:firstLine="45"/>
              <w:jc w:val="both"/>
              <w:rPr>
                <w:b/>
                <w:sz w:val="22"/>
                <w:szCs w:val="22"/>
              </w:rPr>
            </w:pPr>
            <w:r w:rsidRPr="00F641C5">
              <w:rPr>
                <w:b/>
                <w:sz w:val="22"/>
                <w:szCs w:val="22"/>
              </w:rPr>
              <w:t>учтено</w:t>
            </w:r>
          </w:p>
        </w:tc>
        <w:tc>
          <w:tcPr>
            <w:tcW w:w="1418" w:type="dxa"/>
          </w:tcPr>
          <w:p w14:paraId="2D871F95" w14:textId="351DF1EC" w:rsidR="004E30BC" w:rsidRPr="004E30BC" w:rsidRDefault="004E30BC" w:rsidP="004E30BC">
            <w:pPr>
              <w:jc w:val="center"/>
              <w:rPr>
                <w:bCs/>
                <w:iCs/>
                <w:sz w:val="22"/>
                <w:szCs w:val="22"/>
              </w:rPr>
            </w:pPr>
            <w:r w:rsidRPr="004E30BC">
              <w:rPr>
                <w:bCs/>
                <w:iCs/>
                <w:sz w:val="22"/>
                <w:szCs w:val="22"/>
              </w:rPr>
              <w:t>2 (22,2%)</w:t>
            </w:r>
          </w:p>
        </w:tc>
        <w:tc>
          <w:tcPr>
            <w:tcW w:w="3364" w:type="dxa"/>
          </w:tcPr>
          <w:p w14:paraId="33D36C8D" w14:textId="77777777" w:rsidR="004E30BC" w:rsidRPr="00A82D8E" w:rsidRDefault="004E30BC" w:rsidP="004E30BC">
            <w:pPr>
              <w:jc w:val="both"/>
              <w:rPr>
                <w:sz w:val="22"/>
                <w:szCs w:val="22"/>
                <w:highlight w:val="yellow"/>
              </w:rPr>
            </w:pPr>
          </w:p>
        </w:tc>
      </w:tr>
      <w:tr w:rsidR="004E30BC" w:rsidRPr="00F641C5" w14:paraId="21FD3D64" w14:textId="77777777" w:rsidTr="006D067B">
        <w:tc>
          <w:tcPr>
            <w:tcW w:w="817" w:type="dxa"/>
          </w:tcPr>
          <w:p w14:paraId="59C62C31" w14:textId="77777777" w:rsidR="004E30BC" w:rsidRPr="00F641C5" w:rsidRDefault="004E30BC" w:rsidP="004E30BC">
            <w:pPr>
              <w:jc w:val="center"/>
              <w:rPr>
                <w:szCs w:val="22"/>
              </w:rPr>
            </w:pPr>
          </w:p>
        </w:tc>
        <w:tc>
          <w:tcPr>
            <w:tcW w:w="9639" w:type="dxa"/>
          </w:tcPr>
          <w:p w14:paraId="229A32AA" w14:textId="02B440ED" w:rsidR="004E30BC" w:rsidRPr="00F641C5" w:rsidRDefault="004E30BC" w:rsidP="004E30BC">
            <w:pPr>
              <w:autoSpaceDE w:val="0"/>
              <w:autoSpaceDN w:val="0"/>
              <w:adjustRightInd w:val="0"/>
              <w:ind w:firstLine="45"/>
              <w:jc w:val="both"/>
              <w:rPr>
                <w:b/>
                <w:szCs w:val="22"/>
              </w:rPr>
            </w:pPr>
            <w:r>
              <w:rPr>
                <w:b/>
                <w:szCs w:val="22"/>
              </w:rPr>
              <w:t xml:space="preserve">учтено частично </w:t>
            </w:r>
          </w:p>
        </w:tc>
        <w:tc>
          <w:tcPr>
            <w:tcW w:w="1418" w:type="dxa"/>
          </w:tcPr>
          <w:p w14:paraId="10965597" w14:textId="05D6939D" w:rsidR="004E30BC" w:rsidRPr="004E30BC" w:rsidRDefault="004E30BC" w:rsidP="004E30BC">
            <w:pPr>
              <w:jc w:val="center"/>
              <w:rPr>
                <w:bCs/>
                <w:iCs/>
                <w:sz w:val="22"/>
                <w:szCs w:val="22"/>
              </w:rPr>
            </w:pPr>
            <w:r w:rsidRPr="004E30BC">
              <w:rPr>
                <w:bCs/>
                <w:iCs/>
                <w:sz w:val="22"/>
                <w:szCs w:val="22"/>
              </w:rPr>
              <w:t>5 (55,6)</w:t>
            </w:r>
          </w:p>
        </w:tc>
        <w:tc>
          <w:tcPr>
            <w:tcW w:w="3364" w:type="dxa"/>
          </w:tcPr>
          <w:p w14:paraId="725E2D50" w14:textId="3926BC13" w:rsidR="004E30BC" w:rsidRPr="004E732D" w:rsidRDefault="004E30BC" w:rsidP="004E30BC">
            <w:pPr>
              <w:jc w:val="both"/>
              <w:rPr>
                <w:sz w:val="20"/>
              </w:rPr>
            </w:pPr>
          </w:p>
        </w:tc>
      </w:tr>
      <w:tr w:rsidR="004E30BC" w:rsidRPr="00F641C5" w14:paraId="6878D463" w14:textId="77777777" w:rsidTr="006D067B">
        <w:tc>
          <w:tcPr>
            <w:tcW w:w="817" w:type="dxa"/>
          </w:tcPr>
          <w:p w14:paraId="0B28EB64" w14:textId="77777777" w:rsidR="004E30BC" w:rsidRPr="00F641C5" w:rsidRDefault="004E30BC" w:rsidP="004E30BC">
            <w:pPr>
              <w:jc w:val="center"/>
              <w:rPr>
                <w:szCs w:val="22"/>
              </w:rPr>
            </w:pPr>
          </w:p>
        </w:tc>
        <w:tc>
          <w:tcPr>
            <w:tcW w:w="9639" w:type="dxa"/>
          </w:tcPr>
          <w:p w14:paraId="3BDB086F" w14:textId="77777777" w:rsidR="004E30BC" w:rsidRPr="00F641C5" w:rsidRDefault="004E30BC" w:rsidP="004E30BC">
            <w:pPr>
              <w:autoSpaceDE w:val="0"/>
              <w:autoSpaceDN w:val="0"/>
              <w:adjustRightInd w:val="0"/>
              <w:ind w:firstLine="45"/>
              <w:jc w:val="both"/>
              <w:rPr>
                <w:b/>
                <w:szCs w:val="22"/>
              </w:rPr>
            </w:pPr>
            <w:r w:rsidRPr="00F641C5">
              <w:rPr>
                <w:b/>
                <w:sz w:val="22"/>
                <w:szCs w:val="22"/>
              </w:rPr>
              <w:t>не учтено</w:t>
            </w:r>
          </w:p>
        </w:tc>
        <w:tc>
          <w:tcPr>
            <w:tcW w:w="1418" w:type="dxa"/>
          </w:tcPr>
          <w:p w14:paraId="5CDF7180" w14:textId="685736F0" w:rsidR="004E30BC" w:rsidRPr="004E30BC" w:rsidRDefault="004E30BC" w:rsidP="004E30BC">
            <w:pPr>
              <w:jc w:val="center"/>
              <w:rPr>
                <w:bCs/>
                <w:iCs/>
                <w:sz w:val="22"/>
                <w:szCs w:val="22"/>
              </w:rPr>
            </w:pPr>
            <w:r w:rsidRPr="004E30BC">
              <w:rPr>
                <w:bCs/>
                <w:iCs/>
                <w:sz w:val="22"/>
                <w:szCs w:val="22"/>
              </w:rPr>
              <w:t>2 (22,2%)</w:t>
            </w:r>
          </w:p>
        </w:tc>
        <w:tc>
          <w:tcPr>
            <w:tcW w:w="3364" w:type="dxa"/>
          </w:tcPr>
          <w:p w14:paraId="031219EA" w14:textId="77777777" w:rsidR="004E30BC" w:rsidRPr="004E732D" w:rsidRDefault="004E30BC" w:rsidP="004E30BC">
            <w:pPr>
              <w:jc w:val="both"/>
              <w:rPr>
                <w:sz w:val="20"/>
              </w:rPr>
            </w:pPr>
          </w:p>
        </w:tc>
      </w:tr>
    </w:tbl>
    <w:p w14:paraId="060BD3AD" w14:textId="77777777" w:rsidR="00AD0EC7" w:rsidRDefault="00AD0EC7" w:rsidP="004D2F03">
      <w:pPr>
        <w:pStyle w:val="a3"/>
        <w:outlineLvl w:val="0"/>
        <w:rPr>
          <w:b/>
        </w:rPr>
      </w:pPr>
    </w:p>
    <w:p w14:paraId="7A17D1AB" w14:textId="0C3C72C6" w:rsidR="004D2F03" w:rsidRDefault="004D2F03" w:rsidP="004D2F03">
      <w:pPr>
        <w:pStyle w:val="a3"/>
        <w:outlineLvl w:val="0"/>
        <w:rPr>
          <w:b/>
        </w:rPr>
      </w:pPr>
      <w:r w:rsidRPr="00633D8A">
        <w:rPr>
          <w:b/>
        </w:rPr>
        <w:t xml:space="preserve">Заместитель председателя </w:t>
      </w:r>
    </w:p>
    <w:p w14:paraId="7ED38587" w14:textId="77777777" w:rsidR="004D2F03" w:rsidRDefault="004D2F03" w:rsidP="004D2F03">
      <w:pPr>
        <w:pStyle w:val="a3"/>
        <w:outlineLvl w:val="0"/>
        <w:rPr>
          <w:b/>
        </w:rPr>
      </w:pPr>
      <w:r w:rsidRPr="00633D8A">
        <w:rPr>
          <w:b/>
        </w:rPr>
        <w:t xml:space="preserve">контрольно-счетной </w:t>
      </w:r>
      <w:r w:rsidRPr="006160CC">
        <w:rPr>
          <w:b/>
        </w:rPr>
        <w:t xml:space="preserve">палаты </w:t>
      </w:r>
    </w:p>
    <w:p w14:paraId="13B6885A" w14:textId="77777777" w:rsidR="008B050A" w:rsidRDefault="004D2F03" w:rsidP="003F07B3">
      <w:pPr>
        <w:pStyle w:val="a3"/>
        <w:outlineLvl w:val="0"/>
      </w:pPr>
      <w:r w:rsidRPr="006160CC">
        <w:rPr>
          <w:b/>
        </w:rPr>
        <w:t>Волгоградской области</w:t>
      </w:r>
      <w:r w:rsidRPr="006160CC">
        <w:rPr>
          <w:b/>
        </w:rPr>
        <w:tab/>
      </w:r>
      <w:r w:rsidRPr="006160CC">
        <w:rPr>
          <w:b/>
        </w:rPr>
        <w:tab/>
      </w:r>
      <w:r w:rsidRPr="006160CC">
        <w:rPr>
          <w:b/>
        </w:rPr>
        <w:tab/>
      </w:r>
      <w:r w:rsidRPr="006160CC">
        <w:rPr>
          <w:b/>
        </w:rPr>
        <w:tab/>
      </w:r>
      <w:r w:rsidRPr="006160CC">
        <w:rPr>
          <w:b/>
        </w:rPr>
        <w:tab/>
      </w:r>
      <w:r>
        <w:rPr>
          <w:b/>
        </w:rPr>
        <w:tab/>
      </w:r>
      <w:r>
        <w:rPr>
          <w:b/>
        </w:rPr>
        <w:tab/>
      </w:r>
      <w:r>
        <w:rPr>
          <w:b/>
        </w:rPr>
        <w:tab/>
      </w:r>
      <w:r>
        <w:rPr>
          <w:b/>
        </w:rPr>
        <w:tab/>
      </w:r>
      <w:r>
        <w:rPr>
          <w:b/>
        </w:rPr>
        <w:tab/>
      </w:r>
      <w:r>
        <w:rPr>
          <w:b/>
        </w:rPr>
        <w:tab/>
      </w:r>
      <w:r>
        <w:rPr>
          <w:b/>
        </w:rPr>
        <w:tab/>
        <w:t xml:space="preserve">      </w:t>
      </w:r>
      <w:r>
        <w:rPr>
          <w:b/>
        </w:rPr>
        <w:tab/>
      </w:r>
      <w:r w:rsidRPr="006160CC">
        <w:rPr>
          <w:b/>
        </w:rPr>
        <w:tab/>
        <w:t xml:space="preserve">Л.М. </w:t>
      </w:r>
      <w:proofErr w:type="spellStart"/>
      <w:r w:rsidRPr="006160CC">
        <w:rPr>
          <w:b/>
        </w:rPr>
        <w:t>Горгоцкая</w:t>
      </w:r>
      <w:proofErr w:type="spellEnd"/>
    </w:p>
    <w:sectPr w:rsidR="008B050A" w:rsidSect="004E30BC">
      <w:headerReference w:type="even" r:id="rId7"/>
      <w:headerReference w:type="default" r:id="rId8"/>
      <w:footerReference w:type="even" r:id="rId9"/>
      <w:footerReference w:type="default" r:id="rId10"/>
      <w:pgSz w:w="16838" w:h="11906" w:orient="landscape"/>
      <w:pgMar w:top="964" w:right="964" w:bottom="709" w:left="96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E946B9" w14:textId="77777777" w:rsidR="003F17C6" w:rsidRDefault="003F17C6" w:rsidP="007C2681">
      <w:r>
        <w:separator/>
      </w:r>
    </w:p>
  </w:endnote>
  <w:endnote w:type="continuationSeparator" w:id="0">
    <w:p w14:paraId="66B2E12A" w14:textId="77777777" w:rsidR="003F17C6" w:rsidRDefault="003F17C6" w:rsidP="007C2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623D8C" w14:textId="77777777" w:rsidR="006D641A" w:rsidRDefault="00491F13" w:rsidP="006D641A">
    <w:pPr>
      <w:pStyle w:val="aa"/>
      <w:framePr w:wrap="around" w:vAnchor="text" w:hAnchor="margin" w:xAlign="center" w:y="1"/>
      <w:rPr>
        <w:rStyle w:val="a9"/>
      </w:rPr>
    </w:pPr>
    <w:r>
      <w:rPr>
        <w:rStyle w:val="a9"/>
      </w:rPr>
      <w:fldChar w:fldCharType="begin"/>
    </w:r>
    <w:r w:rsidR="004D2F03">
      <w:rPr>
        <w:rStyle w:val="a9"/>
      </w:rPr>
      <w:instrText xml:space="preserve">PAGE  </w:instrText>
    </w:r>
    <w:r>
      <w:rPr>
        <w:rStyle w:val="a9"/>
      </w:rPr>
      <w:fldChar w:fldCharType="end"/>
    </w:r>
  </w:p>
  <w:p w14:paraId="1CE01561" w14:textId="77777777" w:rsidR="006D641A" w:rsidRDefault="006D641A">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779ADE" w14:textId="4B054245" w:rsidR="006D641A" w:rsidRDefault="006D641A" w:rsidP="006D641A">
    <w:pPr>
      <w:pStyle w:val="aa"/>
      <w:framePr w:wrap="around" w:vAnchor="text" w:hAnchor="margin" w:xAlign="center" w:y="1"/>
      <w:rPr>
        <w:rStyle w:val="a9"/>
      </w:rPr>
    </w:pPr>
  </w:p>
  <w:p w14:paraId="757D082B" w14:textId="77777777" w:rsidR="006D641A" w:rsidRDefault="006D641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8A3F75" w14:textId="77777777" w:rsidR="003F17C6" w:rsidRDefault="003F17C6" w:rsidP="007C2681">
      <w:r>
        <w:separator/>
      </w:r>
    </w:p>
  </w:footnote>
  <w:footnote w:type="continuationSeparator" w:id="0">
    <w:p w14:paraId="246FF39B" w14:textId="77777777" w:rsidR="003F17C6" w:rsidRDefault="003F17C6" w:rsidP="007C26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329484" w14:textId="77777777" w:rsidR="006D641A" w:rsidRDefault="00491F13" w:rsidP="006D641A">
    <w:pPr>
      <w:pStyle w:val="a7"/>
      <w:framePr w:wrap="around" w:vAnchor="text" w:hAnchor="margin" w:xAlign="center" w:y="1"/>
      <w:rPr>
        <w:rStyle w:val="a9"/>
      </w:rPr>
    </w:pPr>
    <w:r>
      <w:rPr>
        <w:rStyle w:val="a9"/>
      </w:rPr>
      <w:fldChar w:fldCharType="begin"/>
    </w:r>
    <w:r w:rsidR="004D2F03">
      <w:rPr>
        <w:rStyle w:val="a9"/>
      </w:rPr>
      <w:instrText xml:space="preserve">PAGE  </w:instrText>
    </w:r>
    <w:r>
      <w:rPr>
        <w:rStyle w:val="a9"/>
      </w:rPr>
      <w:fldChar w:fldCharType="end"/>
    </w:r>
  </w:p>
  <w:p w14:paraId="357855D5" w14:textId="77777777" w:rsidR="006D641A" w:rsidRDefault="006D641A">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04939548"/>
      <w:docPartObj>
        <w:docPartGallery w:val="Page Numbers (Margins)"/>
        <w:docPartUnique/>
      </w:docPartObj>
    </w:sdtPr>
    <w:sdtEndPr/>
    <w:sdtContent>
      <w:p w14:paraId="15B112CE" w14:textId="22F39989" w:rsidR="00AD0EC7" w:rsidRDefault="003F17C6">
        <w:pPr>
          <w:pStyle w:val="a7"/>
        </w:pPr>
        <w:r>
          <w:pict w14:anchorId="051213DA">
            <v:rect id="Rectangle 4" o:spid="_x0000_s2049" style="position:absolute;margin-left:0;margin-top:0;width:57.3pt;height:25.95pt;z-index:251659264;visibility:visible;mso-wrap-style:square;mso-width-percent:800;mso-height-percent:0;mso-wrap-distance-left:9pt;mso-wrap-distance-top:0;mso-wrap-distance-right:9pt;mso-wrap-distance-bottom:0;mso-position-horizontal:left;mso-position-horizontal-relative:left-margin-area;mso-position-vertical:center;mso-position-vertical-relative:margin;mso-width-percent:80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" o:allowincell="f" stroked="f">
              <v:textbox>
                <w:txbxContent>
                  <w:p w14:paraId="21904F7D" w14:textId="77777777" w:rsidR="00AD0EC7" w:rsidRDefault="00AD0EC7">
                    <w:pPr>
                      <w:pBdr>
                        <w:bottom w:val="single" w:sz="4" w:space="1" w:color="auto"/>
                      </w:pBdr>
                      <w:jc w:val="right"/>
                    </w:pPr>
                    <w:r>
                      <w:fldChar w:fldCharType="begin"/>
                    </w:r>
                    <w:r>
                      <w:instrText>PAGE   \* MERGEFORMAT</w:instrText>
                    </w:r>
                    <w:r>
                      <w:fldChar w:fldCharType="separate"/>
                    </w:r>
                    <w:r>
                      <w:t>2</w:t>
                    </w:r>
                    <w:r>
                      <w:fldChar w:fldCharType="end"/>
                    </w:r>
                  </w:p>
                </w:txbxContent>
              </v:textbox>
              <w10:wrap anchorx="margin" anchory="margin"/>
            </v:rect>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FD101C8"/>
    <w:multiLevelType w:val="hybridMultilevel"/>
    <w:tmpl w:val="A84870F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9F912BF"/>
    <w:multiLevelType w:val="hybridMultilevel"/>
    <w:tmpl w:val="94E0C092"/>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D2F03"/>
    <w:rsid w:val="000008B8"/>
    <w:rsid w:val="00002E55"/>
    <w:rsid w:val="00010074"/>
    <w:rsid w:val="00026637"/>
    <w:rsid w:val="00027B47"/>
    <w:rsid w:val="00054421"/>
    <w:rsid w:val="000572A6"/>
    <w:rsid w:val="00060947"/>
    <w:rsid w:val="00067C35"/>
    <w:rsid w:val="00074599"/>
    <w:rsid w:val="00075AD0"/>
    <w:rsid w:val="000760AB"/>
    <w:rsid w:val="000850A6"/>
    <w:rsid w:val="00094E7D"/>
    <w:rsid w:val="000A490E"/>
    <w:rsid w:val="000B3323"/>
    <w:rsid w:val="000B337E"/>
    <w:rsid w:val="000B68BD"/>
    <w:rsid w:val="000C71B4"/>
    <w:rsid w:val="000D65A1"/>
    <w:rsid w:val="000E3A42"/>
    <w:rsid w:val="000E760E"/>
    <w:rsid w:val="000F1CDC"/>
    <w:rsid w:val="000F3A27"/>
    <w:rsid w:val="000F763F"/>
    <w:rsid w:val="00101107"/>
    <w:rsid w:val="00101C9B"/>
    <w:rsid w:val="00105155"/>
    <w:rsid w:val="0010550B"/>
    <w:rsid w:val="0012515E"/>
    <w:rsid w:val="00125D06"/>
    <w:rsid w:val="001350CB"/>
    <w:rsid w:val="001424CF"/>
    <w:rsid w:val="00150FA5"/>
    <w:rsid w:val="0015180E"/>
    <w:rsid w:val="001603F9"/>
    <w:rsid w:val="00165DAF"/>
    <w:rsid w:val="00165F6F"/>
    <w:rsid w:val="001759EF"/>
    <w:rsid w:val="00185D18"/>
    <w:rsid w:val="00192F06"/>
    <w:rsid w:val="001A50BC"/>
    <w:rsid w:val="001A7BB4"/>
    <w:rsid w:val="001B3DC0"/>
    <w:rsid w:val="001D4675"/>
    <w:rsid w:val="001E4696"/>
    <w:rsid w:val="001F07EC"/>
    <w:rsid w:val="001F2621"/>
    <w:rsid w:val="00205C78"/>
    <w:rsid w:val="00221026"/>
    <w:rsid w:val="00224AA1"/>
    <w:rsid w:val="002563F4"/>
    <w:rsid w:val="0026772B"/>
    <w:rsid w:val="0028118B"/>
    <w:rsid w:val="00287F92"/>
    <w:rsid w:val="002A7767"/>
    <w:rsid w:val="002B6C4D"/>
    <w:rsid w:val="002C0D7D"/>
    <w:rsid w:val="002C54B3"/>
    <w:rsid w:val="002D4FF7"/>
    <w:rsid w:val="002E07A4"/>
    <w:rsid w:val="002F25F8"/>
    <w:rsid w:val="00301B0D"/>
    <w:rsid w:val="003047E5"/>
    <w:rsid w:val="00336B21"/>
    <w:rsid w:val="00337760"/>
    <w:rsid w:val="0034492F"/>
    <w:rsid w:val="00347F96"/>
    <w:rsid w:val="0035356D"/>
    <w:rsid w:val="00370C56"/>
    <w:rsid w:val="0037592F"/>
    <w:rsid w:val="003811CF"/>
    <w:rsid w:val="00382190"/>
    <w:rsid w:val="00384116"/>
    <w:rsid w:val="00391ACD"/>
    <w:rsid w:val="003924E4"/>
    <w:rsid w:val="00395802"/>
    <w:rsid w:val="003A3F90"/>
    <w:rsid w:val="003A666C"/>
    <w:rsid w:val="003A765A"/>
    <w:rsid w:val="003B67C7"/>
    <w:rsid w:val="003B7359"/>
    <w:rsid w:val="003C202F"/>
    <w:rsid w:val="003C67BF"/>
    <w:rsid w:val="003F07B3"/>
    <w:rsid w:val="003F17C6"/>
    <w:rsid w:val="003F316B"/>
    <w:rsid w:val="003F5244"/>
    <w:rsid w:val="004009A9"/>
    <w:rsid w:val="00412098"/>
    <w:rsid w:val="004130F2"/>
    <w:rsid w:val="00417695"/>
    <w:rsid w:val="004212AE"/>
    <w:rsid w:val="00434967"/>
    <w:rsid w:val="00452B96"/>
    <w:rsid w:val="0045489F"/>
    <w:rsid w:val="00460B55"/>
    <w:rsid w:val="00465846"/>
    <w:rsid w:val="00475094"/>
    <w:rsid w:val="004821AA"/>
    <w:rsid w:val="004832B9"/>
    <w:rsid w:val="0048554B"/>
    <w:rsid w:val="00491F13"/>
    <w:rsid w:val="0049244F"/>
    <w:rsid w:val="004A38A5"/>
    <w:rsid w:val="004A5456"/>
    <w:rsid w:val="004A725C"/>
    <w:rsid w:val="004C12F2"/>
    <w:rsid w:val="004C5FC2"/>
    <w:rsid w:val="004D2F03"/>
    <w:rsid w:val="004D5C2F"/>
    <w:rsid w:val="004D75BF"/>
    <w:rsid w:val="004E30BC"/>
    <w:rsid w:val="004E48E7"/>
    <w:rsid w:val="004E683D"/>
    <w:rsid w:val="004E732D"/>
    <w:rsid w:val="00513F97"/>
    <w:rsid w:val="00514C11"/>
    <w:rsid w:val="00525704"/>
    <w:rsid w:val="0053078F"/>
    <w:rsid w:val="00536DA7"/>
    <w:rsid w:val="005400A5"/>
    <w:rsid w:val="00543568"/>
    <w:rsid w:val="005473DC"/>
    <w:rsid w:val="00551594"/>
    <w:rsid w:val="00555433"/>
    <w:rsid w:val="0056093F"/>
    <w:rsid w:val="0056722B"/>
    <w:rsid w:val="00577253"/>
    <w:rsid w:val="00585663"/>
    <w:rsid w:val="005917CA"/>
    <w:rsid w:val="005950D7"/>
    <w:rsid w:val="00595288"/>
    <w:rsid w:val="00595E42"/>
    <w:rsid w:val="005B07D3"/>
    <w:rsid w:val="005B5620"/>
    <w:rsid w:val="005B5865"/>
    <w:rsid w:val="005B608B"/>
    <w:rsid w:val="005D40F7"/>
    <w:rsid w:val="005E2985"/>
    <w:rsid w:val="005F2759"/>
    <w:rsid w:val="00605697"/>
    <w:rsid w:val="00606859"/>
    <w:rsid w:val="00607594"/>
    <w:rsid w:val="00617361"/>
    <w:rsid w:val="00620CFA"/>
    <w:rsid w:val="006231F4"/>
    <w:rsid w:val="006249C2"/>
    <w:rsid w:val="006431DD"/>
    <w:rsid w:val="006647E2"/>
    <w:rsid w:val="00675AD7"/>
    <w:rsid w:val="00685E6F"/>
    <w:rsid w:val="00686832"/>
    <w:rsid w:val="006945F2"/>
    <w:rsid w:val="00697684"/>
    <w:rsid w:val="006A03C4"/>
    <w:rsid w:val="006A3407"/>
    <w:rsid w:val="006A5448"/>
    <w:rsid w:val="006B118A"/>
    <w:rsid w:val="006B6010"/>
    <w:rsid w:val="006C4625"/>
    <w:rsid w:val="006D067B"/>
    <w:rsid w:val="006D08E3"/>
    <w:rsid w:val="006D4D91"/>
    <w:rsid w:val="006D641A"/>
    <w:rsid w:val="006E707D"/>
    <w:rsid w:val="0071644F"/>
    <w:rsid w:val="00723864"/>
    <w:rsid w:val="00742051"/>
    <w:rsid w:val="0074439F"/>
    <w:rsid w:val="00757B25"/>
    <w:rsid w:val="0077066C"/>
    <w:rsid w:val="00773691"/>
    <w:rsid w:val="00793FCD"/>
    <w:rsid w:val="00796968"/>
    <w:rsid w:val="00797524"/>
    <w:rsid w:val="007A3762"/>
    <w:rsid w:val="007C2681"/>
    <w:rsid w:val="007D08B3"/>
    <w:rsid w:val="007D3769"/>
    <w:rsid w:val="00811213"/>
    <w:rsid w:val="00812E48"/>
    <w:rsid w:val="0082033D"/>
    <w:rsid w:val="00824D37"/>
    <w:rsid w:val="008375C2"/>
    <w:rsid w:val="00851CD2"/>
    <w:rsid w:val="008532F5"/>
    <w:rsid w:val="0085383E"/>
    <w:rsid w:val="00857EA2"/>
    <w:rsid w:val="0086130A"/>
    <w:rsid w:val="008625F5"/>
    <w:rsid w:val="00870BB5"/>
    <w:rsid w:val="008775C7"/>
    <w:rsid w:val="0088379B"/>
    <w:rsid w:val="0088492B"/>
    <w:rsid w:val="008905C7"/>
    <w:rsid w:val="008A25D5"/>
    <w:rsid w:val="008B050A"/>
    <w:rsid w:val="008B2D47"/>
    <w:rsid w:val="008C3DB0"/>
    <w:rsid w:val="008C403B"/>
    <w:rsid w:val="008F027A"/>
    <w:rsid w:val="00915F51"/>
    <w:rsid w:val="0092524B"/>
    <w:rsid w:val="00971E6F"/>
    <w:rsid w:val="009737C0"/>
    <w:rsid w:val="00987BF9"/>
    <w:rsid w:val="009A1168"/>
    <w:rsid w:val="009A6E71"/>
    <w:rsid w:val="009C10A2"/>
    <w:rsid w:val="009F3FAC"/>
    <w:rsid w:val="00A0103B"/>
    <w:rsid w:val="00A05DBF"/>
    <w:rsid w:val="00A123F6"/>
    <w:rsid w:val="00A14FE9"/>
    <w:rsid w:val="00A23313"/>
    <w:rsid w:val="00A24C70"/>
    <w:rsid w:val="00A24E90"/>
    <w:rsid w:val="00A41AA4"/>
    <w:rsid w:val="00A4616F"/>
    <w:rsid w:val="00A53B32"/>
    <w:rsid w:val="00A62DB5"/>
    <w:rsid w:val="00A64298"/>
    <w:rsid w:val="00A6455E"/>
    <w:rsid w:val="00A65434"/>
    <w:rsid w:val="00A77A63"/>
    <w:rsid w:val="00A80B14"/>
    <w:rsid w:val="00A82D8E"/>
    <w:rsid w:val="00A92983"/>
    <w:rsid w:val="00AA182B"/>
    <w:rsid w:val="00AA38F4"/>
    <w:rsid w:val="00AA73A0"/>
    <w:rsid w:val="00AC1655"/>
    <w:rsid w:val="00AD0EC7"/>
    <w:rsid w:val="00AE1BFE"/>
    <w:rsid w:val="00AE74B4"/>
    <w:rsid w:val="00AF7903"/>
    <w:rsid w:val="00AF7BA8"/>
    <w:rsid w:val="00B004FE"/>
    <w:rsid w:val="00B11CC2"/>
    <w:rsid w:val="00B17BC5"/>
    <w:rsid w:val="00B21188"/>
    <w:rsid w:val="00B2613F"/>
    <w:rsid w:val="00B31700"/>
    <w:rsid w:val="00B35FE0"/>
    <w:rsid w:val="00B67595"/>
    <w:rsid w:val="00B755C3"/>
    <w:rsid w:val="00B809FF"/>
    <w:rsid w:val="00B931E1"/>
    <w:rsid w:val="00B97EE3"/>
    <w:rsid w:val="00BA25F4"/>
    <w:rsid w:val="00BA6339"/>
    <w:rsid w:val="00BB1365"/>
    <w:rsid w:val="00BD316C"/>
    <w:rsid w:val="00BD34C7"/>
    <w:rsid w:val="00BE0B59"/>
    <w:rsid w:val="00BE0F3E"/>
    <w:rsid w:val="00BF320A"/>
    <w:rsid w:val="00C06124"/>
    <w:rsid w:val="00C10287"/>
    <w:rsid w:val="00C21117"/>
    <w:rsid w:val="00C33A85"/>
    <w:rsid w:val="00C52BD1"/>
    <w:rsid w:val="00C56364"/>
    <w:rsid w:val="00C6114B"/>
    <w:rsid w:val="00C63193"/>
    <w:rsid w:val="00C702A9"/>
    <w:rsid w:val="00C834DC"/>
    <w:rsid w:val="00C95FE0"/>
    <w:rsid w:val="00C960C3"/>
    <w:rsid w:val="00CA5F2F"/>
    <w:rsid w:val="00CB5760"/>
    <w:rsid w:val="00CD6E07"/>
    <w:rsid w:val="00CE4A41"/>
    <w:rsid w:val="00CE5B3A"/>
    <w:rsid w:val="00CF05CA"/>
    <w:rsid w:val="00CF628A"/>
    <w:rsid w:val="00CF7901"/>
    <w:rsid w:val="00D031D8"/>
    <w:rsid w:val="00D21D78"/>
    <w:rsid w:val="00D22530"/>
    <w:rsid w:val="00D26B3C"/>
    <w:rsid w:val="00D26DC0"/>
    <w:rsid w:val="00D27535"/>
    <w:rsid w:val="00D277F0"/>
    <w:rsid w:val="00D379A6"/>
    <w:rsid w:val="00D51A29"/>
    <w:rsid w:val="00D55D96"/>
    <w:rsid w:val="00D73B44"/>
    <w:rsid w:val="00D7578D"/>
    <w:rsid w:val="00D811FB"/>
    <w:rsid w:val="00D83CD9"/>
    <w:rsid w:val="00D9624E"/>
    <w:rsid w:val="00D96FC1"/>
    <w:rsid w:val="00D97A6C"/>
    <w:rsid w:val="00DB0025"/>
    <w:rsid w:val="00DB4C76"/>
    <w:rsid w:val="00DB7366"/>
    <w:rsid w:val="00DC1CF5"/>
    <w:rsid w:val="00DC51EA"/>
    <w:rsid w:val="00DE29B5"/>
    <w:rsid w:val="00DE5D0C"/>
    <w:rsid w:val="00DF48CE"/>
    <w:rsid w:val="00E03E28"/>
    <w:rsid w:val="00E07D74"/>
    <w:rsid w:val="00E12CC9"/>
    <w:rsid w:val="00E24225"/>
    <w:rsid w:val="00E25297"/>
    <w:rsid w:val="00E31D0E"/>
    <w:rsid w:val="00E40010"/>
    <w:rsid w:val="00E40CDF"/>
    <w:rsid w:val="00E4709B"/>
    <w:rsid w:val="00E532C2"/>
    <w:rsid w:val="00E57F88"/>
    <w:rsid w:val="00E67120"/>
    <w:rsid w:val="00E8381B"/>
    <w:rsid w:val="00EB11E8"/>
    <w:rsid w:val="00EB147D"/>
    <w:rsid w:val="00EB2509"/>
    <w:rsid w:val="00EB565D"/>
    <w:rsid w:val="00EC4E59"/>
    <w:rsid w:val="00EC64D2"/>
    <w:rsid w:val="00EE4C57"/>
    <w:rsid w:val="00EE6090"/>
    <w:rsid w:val="00F21969"/>
    <w:rsid w:val="00F50503"/>
    <w:rsid w:val="00F55811"/>
    <w:rsid w:val="00F55ECF"/>
    <w:rsid w:val="00F57778"/>
    <w:rsid w:val="00F641C5"/>
    <w:rsid w:val="00FA2F15"/>
    <w:rsid w:val="00FB47B9"/>
    <w:rsid w:val="00FB6574"/>
    <w:rsid w:val="00FC46CC"/>
    <w:rsid w:val="00FC600A"/>
    <w:rsid w:val="00FC6320"/>
    <w:rsid w:val="00FC7FE6"/>
    <w:rsid w:val="00FD2E24"/>
    <w:rsid w:val="00FE7A32"/>
    <w:rsid w:val="00FF17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1BA17AE"/>
  <w15:docId w15:val="{56D7C7A8-7DDE-4838-A9B7-32AB04CED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2F03"/>
    <w:rPr>
      <w:rFonts w:ascii="Times New Roman" w:eastAsia="Times New Roman" w:hAnsi="Times New Roman"/>
      <w:sz w:val="24"/>
    </w:rPr>
  </w:style>
  <w:style w:type="paragraph" w:styleId="1">
    <w:name w:val="heading 1"/>
    <w:basedOn w:val="a"/>
    <w:next w:val="a"/>
    <w:link w:val="10"/>
    <w:uiPriority w:val="99"/>
    <w:qFormat/>
    <w:rsid w:val="0092524B"/>
    <w:pPr>
      <w:autoSpaceDE w:val="0"/>
      <w:autoSpaceDN w:val="0"/>
      <w:adjustRightInd w:val="0"/>
      <w:spacing w:before="108" w:after="108"/>
      <w:jc w:val="center"/>
      <w:outlineLvl w:val="0"/>
    </w:pPr>
    <w:rPr>
      <w:rFonts w:ascii="Arial" w:eastAsia="Calibri" w:hAnsi="Arial" w:cs="Arial"/>
      <w:b/>
      <w:bCs/>
      <w:color w:val="26282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Òàáë òåêñò"/>
    <w:basedOn w:val="a"/>
    <w:link w:val="a4"/>
    <w:rsid w:val="004D2F03"/>
    <w:pPr>
      <w:jc w:val="both"/>
    </w:pPr>
  </w:style>
  <w:style w:type="character" w:customStyle="1" w:styleId="a4">
    <w:name w:val="Основной текст Знак"/>
    <w:aliases w:val="Òàáë òåêñò Знак"/>
    <w:basedOn w:val="a0"/>
    <w:link w:val="a3"/>
    <w:rsid w:val="004D2F03"/>
    <w:rPr>
      <w:rFonts w:ascii="Times New Roman" w:eastAsia="Times New Roman" w:hAnsi="Times New Roman" w:cs="Times New Roman"/>
      <w:sz w:val="24"/>
      <w:szCs w:val="20"/>
      <w:lang w:eastAsia="ru-RU"/>
    </w:rPr>
  </w:style>
  <w:style w:type="paragraph" w:styleId="a5">
    <w:name w:val="Body Text Indent"/>
    <w:basedOn w:val="a"/>
    <w:link w:val="a6"/>
    <w:rsid w:val="004D2F03"/>
    <w:pPr>
      <w:spacing w:after="120"/>
      <w:ind w:left="283"/>
    </w:pPr>
  </w:style>
  <w:style w:type="character" w:customStyle="1" w:styleId="a6">
    <w:name w:val="Основной текст с отступом Знак"/>
    <w:basedOn w:val="a0"/>
    <w:link w:val="a5"/>
    <w:rsid w:val="004D2F03"/>
    <w:rPr>
      <w:rFonts w:ascii="Times New Roman" w:eastAsia="Times New Roman" w:hAnsi="Times New Roman" w:cs="Times New Roman"/>
      <w:sz w:val="24"/>
      <w:szCs w:val="20"/>
      <w:lang w:eastAsia="ru-RU"/>
    </w:rPr>
  </w:style>
  <w:style w:type="paragraph" w:styleId="a7">
    <w:name w:val="header"/>
    <w:basedOn w:val="a"/>
    <w:link w:val="a8"/>
    <w:rsid w:val="004D2F03"/>
    <w:pPr>
      <w:tabs>
        <w:tab w:val="center" w:pos="4677"/>
        <w:tab w:val="right" w:pos="9355"/>
      </w:tabs>
    </w:pPr>
  </w:style>
  <w:style w:type="character" w:customStyle="1" w:styleId="a8">
    <w:name w:val="Верхний колонтитул Знак"/>
    <w:basedOn w:val="a0"/>
    <w:link w:val="a7"/>
    <w:rsid w:val="004D2F03"/>
    <w:rPr>
      <w:rFonts w:ascii="Times New Roman" w:eastAsia="Times New Roman" w:hAnsi="Times New Roman" w:cs="Times New Roman"/>
      <w:sz w:val="24"/>
      <w:szCs w:val="20"/>
      <w:lang w:eastAsia="ru-RU"/>
    </w:rPr>
  </w:style>
  <w:style w:type="character" w:styleId="a9">
    <w:name w:val="page number"/>
    <w:basedOn w:val="a0"/>
    <w:rsid w:val="004D2F03"/>
  </w:style>
  <w:style w:type="paragraph" w:styleId="aa">
    <w:name w:val="footer"/>
    <w:basedOn w:val="a"/>
    <w:link w:val="ab"/>
    <w:rsid w:val="004D2F03"/>
    <w:pPr>
      <w:tabs>
        <w:tab w:val="center" w:pos="4677"/>
        <w:tab w:val="right" w:pos="9355"/>
      </w:tabs>
    </w:pPr>
  </w:style>
  <w:style w:type="character" w:customStyle="1" w:styleId="ab">
    <w:name w:val="Нижний колонтитул Знак"/>
    <w:basedOn w:val="a0"/>
    <w:link w:val="aa"/>
    <w:rsid w:val="004D2F03"/>
    <w:rPr>
      <w:rFonts w:ascii="Times New Roman" w:eastAsia="Times New Roman" w:hAnsi="Times New Roman" w:cs="Times New Roman"/>
      <w:sz w:val="24"/>
      <w:szCs w:val="20"/>
      <w:lang w:eastAsia="ru-RU"/>
    </w:rPr>
  </w:style>
  <w:style w:type="character" w:customStyle="1" w:styleId="10">
    <w:name w:val="Заголовок 1 Знак"/>
    <w:basedOn w:val="a0"/>
    <w:link w:val="1"/>
    <w:uiPriority w:val="9"/>
    <w:rsid w:val="0092524B"/>
    <w:rPr>
      <w:rFonts w:ascii="Arial" w:hAnsi="Arial" w:cs="Arial"/>
      <w:b/>
      <w:bCs/>
      <w:color w:val="26282F"/>
      <w:sz w:val="24"/>
      <w:szCs w:val="24"/>
    </w:rPr>
  </w:style>
  <w:style w:type="paragraph" w:styleId="ac">
    <w:name w:val="List Paragraph"/>
    <w:basedOn w:val="a"/>
    <w:uiPriority w:val="34"/>
    <w:qFormat/>
    <w:rsid w:val="004212AE"/>
    <w:pPr>
      <w:ind w:left="720"/>
      <w:contextualSpacing/>
    </w:pPr>
  </w:style>
  <w:style w:type="character" w:customStyle="1" w:styleId="ad">
    <w:name w:val="Гипертекстовая ссылка"/>
    <w:basedOn w:val="a0"/>
    <w:uiPriority w:val="99"/>
    <w:rsid w:val="00A4616F"/>
    <w:rPr>
      <w:color w:val="008000"/>
    </w:rPr>
  </w:style>
  <w:style w:type="paragraph" w:customStyle="1" w:styleId="11">
    <w:name w:val="1"/>
    <w:rsid w:val="00287F92"/>
    <w:rPr>
      <w:rFonts w:ascii="Times New Roman" w:eastAsia="Times New Roman" w:hAnsi="Times New Roman"/>
      <w:sz w:val="24"/>
    </w:rPr>
  </w:style>
  <w:style w:type="paragraph" w:customStyle="1" w:styleId="ConsPlusNormal">
    <w:name w:val="ConsPlusNormal"/>
    <w:link w:val="ConsPlusNormal0"/>
    <w:qFormat/>
    <w:rsid w:val="00543568"/>
    <w:pPr>
      <w:autoSpaceDE w:val="0"/>
      <w:autoSpaceDN w:val="0"/>
      <w:adjustRightInd w:val="0"/>
      <w:ind w:firstLine="720"/>
    </w:pPr>
    <w:rPr>
      <w:rFonts w:ascii="Arial" w:hAnsi="Arial" w:cs="Arial"/>
      <w:lang w:eastAsia="en-US"/>
    </w:rPr>
  </w:style>
  <w:style w:type="character" w:customStyle="1" w:styleId="ConsPlusNormal0">
    <w:name w:val="ConsPlusNormal Знак"/>
    <w:link w:val="ConsPlusNormal"/>
    <w:locked/>
    <w:rsid w:val="00543568"/>
    <w:rPr>
      <w:rFonts w:ascii="Arial"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816</TotalTime>
  <Pages>3</Pages>
  <Words>1322</Words>
  <Characters>7539</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Pankratova</dc:creator>
  <cp:lastModifiedBy>Самарцева Оксана Геннадьевна</cp:lastModifiedBy>
  <cp:revision>36</cp:revision>
  <cp:lastPrinted>2015-01-21T12:09:00Z</cp:lastPrinted>
  <dcterms:created xsi:type="dcterms:W3CDTF">2017-11-29T13:44:00Z</dcterms:created>
  <dcterms:modified xsi:type="dcterms:W3CDTF">2021-02-26T06:26:00Z</dcterms:modified>
</cp:coreProperties>
</file>